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A7850" w14:textId="16644D9B" w:rsidR="00B11F42" w:rsidRDefault="00B11F42" w:rsidP="0053204E">
      <w:pPr>
        <w:pStyle w:val="Title"/>
        <w:rPr>
          <w:rFonts w:ascii="Verdana" w:hAnsi="Verdana"/>
          <w:color w:val="00565B"/>
          <w:sz w:val="44"/>
          <w:szCs w:val="44"/>
        </w:rPr>
      </w:pPr>
      <w:r>
        <w:rPr>
          <w:rFonts w:ascii="Verdana" w:hAnsi="Verdana"/>
          <w:noProof/>
          <w:color w:val="00565B"/>
          <w:sz w:val="44"/>
          <w:szCs w:val="44"/>
          <w:lang w:eastAsia="en-GB"/>
        </w:rPr>
        <w:drawing>
          <wp:inline distT="0" distB="0" distL="0" distR="0" wp14:anchorId="2101F27A" wp14:editId="765FD55B">
            <wp:extent cx="5731510" cy="309880"/>
            <wp:effectExtent l="0" t="0" r="254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FRA_rgb-sign_300dpi.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09880"/>
                    </a:xfrm>
                    <a:prstGeom prst="rect">
                      <a:avLst/>
                    </a:prstGeom>
                  </pic:spPr>
                </pic:pic>
              </a:graphicData>
            </a:graphic>
          </wp:inline>
        </w:drawing>
      </w:r>
    </w:p>
    <w:p w14:paraId="57A66FF3" w14:textId="77777777" w:rsidR="00B11F42" w:rsidRDefault="00B11F42" w:rsidP="0053204E">
      <w:pPr>
        <w:pStyle w:val="Title"/>
        <w:rPr>
          <w:rFonts w:ascii="Verdana" w:hAnsi="Verdana"/>
          <w:color w:val="00565B"/>
          <w:sz w:val="44"/>
          <w:szCs w:val="44"/>
        </w:rPr>
      </w:pPr>
    </w:p>
    <w:p w14:paraId="2721A3C8" w14:textId="77777777" w:rsidR="00B11F42" w:rsidRDefault="00B11F42" w:rsidP="0053204E">
      <w:pPr>
        <w:pStyle w:val="Title"/>
        <w:rPr>
          <w:rFonts w:ascii="Verdana" w:hAnsi="Verdana"/>
          <w:color w:val="00565B"/>
          <w:sz w:val="44"/>
          <w:szCs w:val="44"/>
        </w:rPr>
      </w:pPr>
    </w:p>
    <w:p w14:paraId="5094F5B7" w14:textId="77777777" w:rsidR="00B11F42" w:rsidRDefault="00B11F42" w:rsidP="0053204E">
      <w:pPr>
        <w:pStyle w:val="Title"/>
        <w:rPr>
          <w:rFonts w:ascii="Verdana" w:hAnsi="Verdana"/>
          <w:color w:val="00565B"/>
          <w:sz w:val="44"/>
          <w:szCs w:val="44"/>
        </w:rPr>
      </w:pPr>
    </w:p>
    <w:p w14:paraId="7DA340F2" w14:textId="77777777" w:rsidR="00B11F42" w:rsidRDefault="00B11F42" w:rsidP="0053204E">
      <w:pPr>
        <w:pStyle w:val="Title"/>
        <w:rPr>
          <w:rFonts w:ascii="Verdana" w:hAnsi="Verdana"/>
          <w:color w:val="00565B"/>
          <w:sz w:val="44"/>
          <w:szCs w:val="44"/>
        </w:rPr>
      </w:pPr>
    </w:p>
    <w:p w14:paraId="7AFF9173" w14:textId="77777777" w:rsidR="00B11F42" w:rsidRDefault="00B11F42" w:rsidP="0053204E">
      <w:pPr>
        <w:pStyle w:val="Title"/>
        <w:rPr>
          <w:rFonts w:ascii="Verdana" w:hAnsi="Verdana"/>
          <w:color w:val="00565B"/>
          <w:sz w:val="44"/>
          <w:szCs w:val="44"/>
        </w:rPr>
      </w:pPr>
    </w:p>
    <w:p w14:paraId="397BEDA0" w14:textId="77777777" w:rsidR="00B11F42" w:rsidRDefault="00B11F42" w:rsidP="0053204E">
      <w:pPr>
        <w:pStyle w:val="Title"/>
        <w:rPr>
          <w:rFonts w:ascii="Verdana" w:hAnsi="Verdana"/>
          <w:color w:val="00565B"/>
          <w:sz w:val="44"/>
          <w:szCs w:val="44"/>
        </w:rPr>
      </w:pPr>
    </w:p>
    <w:p w14:paraId="6257EEE9" w14:textId="77777777" w:rsidR="00B11F42" w:rsidRDefault="00B11F42" w:rsidP="0053204E">
      <w:pPr>
        <w:pStyle w:val="Title"/>
        <w:rPr>
          <w:rFonts w:ascii="Verdana" w:hAnsi="Verdana"/>
          <w:color w:val="00565B"/>
          <w:sz w:val="44"/>
          <w:szCs w:val="44"/>
        </w:rPr>
      </w:pPr>
    </w:p>
    <w:p w14:paraId="62754E0A" w14:textId="77777777" w:rsidR="00B11F42" w:rsidRDefault="00B11F42" w:rsidP="0053204E">
      <w:pPr>
        <w:pStyle w:val="Title"/>
        <w:rPr>
          <w:rFonts w:ascii="Verdana" w:hAnsi="Verdana"/>
          <w:color w:val="00565B"/>
          <w:sz w:val="44"/>
          <w:szCs w:val="44"/>
        </w:rPr>
      </w:pPr>
    </w:p>
    <w:p w14:paraId="493FB6F7" w14:textId="77777777" w:rsidR="00B11F42" w:rsidRDefault="00B11F42" w:rsidP="0053204E">
      <w:pPr>
        <w:pStyle w:val="Title"/>
        <w:rPr>
          <w:rFonts w:ascii="Verdana" w:hAnsi="Verdana"/>
          <w:color w:val="00565B"/>
          <w:sz w:val="44"/>
          <w:szCs w:val="44"/>
        </w:rPr>
      </w:pPr>
    </w:p>
    <w:p w14:paraId="670C8579" w14:textId="4058C4BF" w:rsidR="008351BF" w:rsidRPr="00E914E8" w:rsidRDefault="0094481E" w:rsidP="00B11F42">
      <w:pPr>
        <w:pStyle w:val="Title"/>
        <w:spacing w:after="360"/>
        <w:contextualSpacing w:val="0"/>
        <w:jc w:val="right"/>
        <w:rPr>
          <w:rFonts w:ascii="Verdana" w:hAnsi="Verdana"/>
          <w:color w:val="00565B"/>
          <w:spacing w:val="-14"/>
          <w:sz w:val="48"/>
          <w:szCs w:val="44"/>
        </w:rPr>
      </w:pPr>
      <w:r w:rsidRPr="00E914E8">
        <w:rPr>
          <w:rFonts w:ascii="Verdana" w:hAnsi="Verdana"/>
          <w:color w:val="00565B"/>
          <w:spacing w:val="-14"/>
          <w:sz w:val="48"/>
          <w:szCs w:val="44"/>
        </w:rPr>
        <w:t>From institutions to</w:t>
      </w:r>
      <w:r w:rsidR="002746D5">
        <w:rPr>
          <w:rFonts w:ascii="Verdana" w:hAnsi="Verdana"/>
          <w:color w:val="00565B"/>
          <w:spacing w:val="-14"/>
          <w:sz w:val="48"/>
          <w:szCs w:val="44"/>
        </w:rPr>
        <w:t xml:space="preserve"> </w:t>
      </w:r>
      <w:bookmarkStart w:id="0" w:name="_GoBack"/>
      <w:bookmarkEnd w:id="0"/>
      <w:r w:rsidRPr="00E914E8">
        <w:rPr>
          <w:rFonts w:ascii="Verdana" w:hAnsi="Verdana"/>
          <w:color w:val="00565B"/>
          <w:spacing w:val="-14"/>
          <w:sz w:val="48"/>
          <w:szCs w:val="44"/>
        </w:rPr>
        <w:t>community living</w:t>
      </w:r>
    </w:p>
    <w:p w14:paraId="5E706E70" w14:textId="1FDA808D" w:rsidR="008A189E" w:rsidRPr="00E914E8" w:rsidRDefault="000B4B20" w:rsidP="00B11F42">
      <w:pPr>
        <w:pStyle w:val="Title"/>
        <w:spacing w:after="120"/>
        <w:contextualSpacing w:val="0"/>
        <w:jc w:val="right"/>
        <w:rPr>
          <w:rFonts w:ascii="Verdana" w:hAnsi="Verdana"/>
          <w:color w:val="00565B"/>
          <w:sz w:val="48"/>
          <w:szCs w:val="44"/>
        </w:rPr>
      </w:pPr>
      <w:r w:rsidRPr="00E914E8">
        <w:rPr>
          <w:rFonts w:ascii="Verdana" w:hAnsi="Verdana"/>
          <w:color w:val="00565B"/>
          <w:sz w:val="48"/>
          <w:szCs w:val="44"/>
        </w:rPr>
        <w:t xml:space="preserve">Part I: </w:t>
      </w:r>
      <w:r w:rsidR="00D334DC" w:rsidRPr="00E914E8">
        <w:rPr>
          <w:rFonts w:ascii="Verdana" w:hAnsi="Verdana"/>
          <w:color w:val="00565B"/>
          <w:sz w:val="48"/>
          <w:szCs w:val="44"/>
        </w:rPr>
        <w:t>C</w:t>
      </w:r>
      <w:r w:rsidR="008A189E" w:rsidRPr="00E914E8">
        <w:rPr>
          <w:rFonts w:ascii="Verdana" w:hAnsi="Verdana"/>
          <w:color w:val="00565B"/>
          <w:sz w:val="48"/>
          <w:szCs w:val="44"/>
        </w:rPr>
        <w:t>ommitments</w:t>
      </w:r>
      <w:r w:rsidR="00B11F42" w:rsidRPr="00E914E8">
        <w:rPr>
          <w:rFonts w:ascii="Verdana" w:hAnsi="Verdana"/>
          <w:color w:val="00565B"/>
          <w:sz w:val="48"/>
          <w:szCs w:val="44"/>
        </w:rPr>
        <w:br/>
      </w:r>
      <w:r w:rsidR="008A189E" w:rsidRPr="00E914E8">
        <w:rPr>
          <w:rFonts w:ascii="Verdana" w:hAnsi="Verdana"/>
          <w:color w:val="00565B"/>
          <w:sz w:val="48"/>
          <w:szCs w:val="44"/>
        </w:rPr>
        <w:t xml:space="preserve"> and structures</w:t>
      </w:r>
    </w:p>
    <w:p w14:paraId="5EC8FD8C" w14:textId="34364422" w:rsidR="009D28F2" w:rsidRDefault="009D28F2" w:rsidP="00B11F42">
      <w:pPr>
        <w:spacing w:after="120"/>
        <w:rPr>
          <w:b/>
          <w:sz w:val="24"/>
        </w:rPr>
      </w:pPr>
    </w:p>
    <w:p w14:paraId="728747AF" w14:textId="048F060F" w:rsidR="00B11F42" w:rsidRDefault="00B11F42" w:rsidP="00B11F42">
      <w:pPr>
        <w:spacing w:after="120"/>
        <w:rPr>
          <w:b/>
          <w:sz w:val="24"/>
        </w:rPr>
      </w:pPr>
    </w:p>
    <w:p w14:paraId="7FB14307" w14:textId="77777777" w:rsidR="007531C3" w:rsidRDefault="007531C3" w:rsidP="00B11F42">
      <w:pPr>
        <w:spacing w:after="120"/>
        <w:rPr>
          <w:b/>
          <w:sz w:val="24"/>
        </w:rPr>
      </w:pPr>
      <w:r>
        <w:rPr>
          <w:b/>
          <w:sz w:val="24"/>
        </w:rPr>
        <w:br w:type="page"/>
      </w:r>
    </w:p>
    <w:p w14:paraId="38490AB1" w14:textId="77777777" w:rsidR="007531C3" w:rsidRDefault="007531C3" w:rsidP="007531C3">
      <w:pPr>
        <w:rPr>
          <w:rFonts w:ascii="DaxlinePro-Bold" w:eastAsia="DaxlinePro-Bold" w:hAnsi="DaxlinePro-Bold" w:cs="DaxlinePro-Bold"/>
          <w:b/>
          <w:bCs/>
          <w:sz w:val="20"/>
          <w:szCs w:val="20"/>
        </w:rPr>
      </w:pPr>
    </w:p>
    <w:p w14:paraId="06CF8776" w14:textId="77777777" w:rsidR="007531C3" w:rsidRDefault="007531C3" w:rsidP="007531C3">
      <w:pPr>
        <w:rPr>
          <w:rFonts w:ascii="DaxlinePro-Bold" w:eastAsia="DaxlinePro-Bold" w:hAnsi="DaxlinePro-Bold" w:cs="DaxlinePro-Bold"/>
          <w:b/>
          <w:bCs/>
          <w:sz w:val="20"/>
          <w:szCs w:val="20"/>
        </w:rPr>
      </w:pPr>
    </w:p>
    <w:p w14:paraId="628C7668" w14:textId="77777777" w:rsidR="007531C3" w:rsidRDefault="007531C3" w:rsidP="007531C3">
      <w:pPr>
        <w:rPr>
          <w:rFonts w:ascii="DaxlinePro-Bold" w:eastAsia="DaxlinePro-Bold" w:hAnsi="DaxlinePro-Bold" w:cs="DaxlinePro-Bold"/>
          <w:b/>
          <w:bCs/>
          <w:sz w:val="20"/>
          <w:szCs w:val="20"/>
        </w:rPr>
      </w:pPr>
    </w:p>
    <w:p w14:paraId="41A76AFE" w14:textId="77777777" w:rsidR="007531C3" w:rsidRDefault="007531C3" w:rsidP="007531C3">
      <w:pPr>
        <w:rPr>
          <w:rFonts w:ascii="DaxlinePro-Bold" w:eastAsia="DaxlinePro-Bold" w:hAnsi="DaxlinePro-Bold" w:cs="DaxlinePro-Bold"/>
          <w:b/>
          <w:bCs/>
          <w:sz w:val="20"/>
          <w:szCs w:val="20"/>
        </w:rPr>
      </w:pPr>
    </w:p>
    <w:p w14:paraId="4EC06BBD" w14:textId="77777777" w:rsidR="007531C3" w:rsidRDefault="007531C3" w:rsidP="007531C3">
      <w:pPr>
        <w:rPr>
          <w:rFonts w:ascii="DaxlinePro-Bold" w:eastAsia="DaxlinePro-Bold" w:hAnsi="DaxlinePro-Bold" w:cs="DaxlinePro-Bold"/>
          <w:b/>
          <w:bCs/>
          <w:sz w:val="20"/>
          <w:szCs w:val="20"/>
        </w:rPr>
      </w:pPr>
    </w:p>
    <w:p w14:paraId="46F206DB" w14:textId="77777777" w:rsidR="007531C3" w:rsidRDefault="007531C3" w:rsidP="007531C3">
      <w:pPr>
        <w:rPr>
          <w:rFonts w:ascii="DaxlinePro-Bold" w:eastAsia="DaxlinePro-Bold" w:hAnsi="DaxlinePro-Bold" w:cs="DaxlinePro-Bold"/>
          <w:b/>
          <w:bCs/>
          <w:sz w:val="20"/>
          <w:szCs w:val="20"/>
        </w:rPr>
      </w:pPr>
    </w:p>
    <w:p w14:paraId="652BF912" w14:textId="77777777" w:rsidR="007531C3" w:rsidRDefault="007531C3" w:rsidP="007531C3">
      <w:pPr>
        <w:spacing w:before="1"/>
        <w:rPr>
          <w:rFonts w:ascii="DaxlinePro-Bold" w:eastAsia="DaxlinePro-Bold" w:hAnsi="DaxlinePro-Bold" w:cs="DaxlinePro-Bold"/>
          <w:b/>
          <w:bCs/>
          <w:sz w:val="13"/>
          <w:szCs w:val="13"/>
        </w:rPr>
      </w:pPr>
    </w:p>
    <w:p w14:paraId="62FF2066" w14:textId="1ABE04EC" w:rsidR="007531C3" w:rsidRDefault="007531C3" w:rsidP="007531C3">
      <w:pPr>
        <w:spacing w:line="2612" w:lineRule="exact"/>
        <w:ind w:left="178"/>
        <w:rPr>
          <w:rFonts w:ascii="DaxlinePro-Bold" w:eastAsia="DaxlinePro-Bold" w:hAnsi="DaxlinePro-Bold" w:cs="DaxlinePro-Bold"/>
          <w:sz w:val="20"/>
          <w:szCs w:val="20"/>
        </w:rPr>
      </w:pPr>
      <w:r>
        <w:rPr>
          <w:rFonts w:ascii="DaxlinePro-Bold" w:eastAsia="DaxlinePro-Bold" w:hAnsi="DaxlinePro-Bold" w:cs="DaxlinePro-Bold"/>
          <w:noProof/>
          <w:position w:val="-51"/>
          <w:sz w:val="20"/>
          <w:szCs w:val="20"/>
          <w:lang w:eastAsia="en-GB"/>
        </w:rPr>
        <mc:AlternateContent>
          <mc:Choice Requires="wps">
            <w:drawing>
              <wp:inline distT="0" distB="0" distL="0" distR="0" wp14:anchorId="1FD3690A" wp14:editId="73EE5EF6">
                <wp:extent cx="6113780" cy="1659255"/>
                <wp:effectExtent l="8255" t="12065" r="12065" b="5080"/>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16592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3EC0DAF" w14:textId="77777777" w:rsidR="00E278E4" w:rsidRDefault="00E278E4" w:rsidP="007531C3">
                            <w:pPr>
                              <w:rPr>
                                <w:rFonts w:ascii="DaxlinePro-Bold" w:eastAsia="DaxlinePro-Bold" w:hAnsi="DaxlinePro-Bold" w:cs="DaxlinePro-Bold"/>
                                <w:b/>
                                <w:bCs/>
                              </w:rPr>
                            </w:pPr>
                          </w:p>
                          <w:p w14:paraId="51D5C119" w14:textId="77777777" w:rsidR="00E278E4" w:rsidRDefault="00E278E4" w:rsidP="007531C3">
                            <w:pPr>
                              <w:spacing w:before="8"/>
                              <w:rPr>
                                <w:rFonts w:ascii="DaxlinePro-Bold" w:eastAsia="DaxlinePro-Bold" w:hAnsi="DaxlinePro-Bold" w:cs="DaxlinePro-Bold"/>
                                <w:b/>
                                <w:bCs/>
                                <w:sz w:val="20"/>
                                <w:szCs w:val="20"/>
                              </w:rPr>
                            </w:pPr>
                          </w:p>
                          <w:p w14:paraId="105DC3B6" w14:textId="77777777" w:rsidR="00E278E4" w:rsidRDefault="00E278E4" w:rsidP="007531C3">
                            <w:pPr>
                              <w:spacing w:line="264" w:lineRule="exact"/>
                              <w:ind w:left="2315" w:right="2313"/>
                              <w:jc w:val="center"/>
                              <w:rPr>
                                <w:rFonts w:ascii="DaxlinePro-Bold" w:eastAsia="DaxlinePro-Bold" w:hAnsi="DaxlinePro-Bold" w:cs="DaxlinePro-Bold"/>
                              </w:rPr>
                            </w:pPr>
                            <w:r>
                              <w:rPr>
                                <w:rFonts w:ascii="DaxlinePro-Bold"/>
                                <w:b/>
                                <w:color w:val="231F20"/>
                              </w:rPr>
                              <w:t>Eu</w:t>
                            </w:r>
                            <w:r>
                              <w:rPr>
                                <w:rFonts w:ascii="DaxlinePro-Bold"/>
                                <w:b/>
                                <w:color w:val="231F20"/>
                                <w:spacing w:val="-5"/>
                              </w:rPr>
                              <w:t>r</w:t>
                            </w:r>
                            <w:r>
                              <w:rPr>
                                <w:rFonts w:ascii="DaxlinePro-Bold"/>
                                <w:b/>
                                <w:color w:val="231F20"/>
                              </w:rPr>
                              <w:t>ope Di</w:t>
                            </w:r>
                            <w:r>
                              <w:rPr>
                                <w:rFonts w:ascii="DaxlinePro-Bold"/>
                                <w:b/>
                                <w:color w:val="231F20"/>
                                <w:spacing w:val="-5"/>
                              </w:rPr>
                              <w:t>r</w:t>
                            </w:r>
                            <w:r>
                              <w:rPr>
                                <w:rFonts w:ascii="DaxlinePro-Bold"/>
                                <w:b/>
                                <w:color w:val="231F20"/>
                              </w:rPr>
                              <w:t>ect is a servi</w:t>
                            </w:r>
                            <w:r>
                              <w:rPr>
                                <w:rFonts w:ascii="DaxlinePro-Bold"/>
                                <w:b/>
                                <w:color w:val="231F20"/>
                                <w:spacing w:val="-5"/>
                              </w:rPr>
                              <w:t>c</w:t>
                            </w:r>
                            <w:r>
                              <w:rPr>
                                <w:rFonts w:ascii="DaxlinePro-Bold"/>
                                <w:b/>
                                <w:color w:val="231F20"/>
                              </w:rPr>
                              <w:t xml:space="preserve">e </w:t>
                            </w:r>
                            <w:r>
                              <w:rPr>
                                <w:rFonts w:ascii="DaxlinePro-Bold"/>
                                <w:b/>
                                <w:color w:val="231F20"/>
                                <w:spacing w:val="-3"/>
                              </w:rPr>
                              <w:t>t</w:t>
                            </w:r>
                            <w:r>
                              <w:rPr>
                                <w:rFonts w:ascii="DaxlinePro-Bold"/>
                                <w:b/>
                                <w:color w:val="231F20"/>
                              </w:rPr>
                              <w:t xml:space="preserve">o help </w:t>
                            </w:r>
                            <w:r>
                              <w:rPr>
                                <w:rFonts w:ascii="DaxlinePro-Bold"/>
                                <w:b/>
                                <w:color w:val="231F20"/>
                                <w:spacing w:val="-4"/>
                              </w:rPr>
                              <w:t>y</w:t>
                            </w:r>
                            <w:r>
                              <w:rPr>
                                <w:rFonts w:ascii="DaxlinePro-Bold"/>
                                <w:b/>
                                <w:color w:val="231F20"/>
                              </w:rPr>
                              <w:t>ou find an</w:t>
                            </w:r>
                            <w:r>
                              <w:rPr>
                                <w:rFonts w:ascii="DaxlinePro-Bold"/>
                                <w:b/>
                                <w:color w:val="231F20"/>
                                <w:spacing w:val="-1"/>
                              </w:rPr>
                              <w:t>s</w:t>
                            </w:r>
                            <w:r>
                              <w:rPr>
                                <w:rFonts w:ascii="DaxlinePro-Bold"/>
                                <w:b/>
                                <w:color w:val="231F20"/>
                                <w:spacing w:val="-4"/>
                              </w:rPr>
                              <w:t>w</w:t>
                            </w:r>
                            <w:r>
                              <w:rPr>
                                <w:rFonts w:ascii="DaxlinePro-Bold"/>
                                <w:b/>
                                <w:color w:val="231F20"/>
                              </w:rPr>
                              <w:t>e</w:t>
                            </w:r>
                            <w:r>
                              <w:rPr>
                                <w:rFonts w:ascii="DaxlinePro-Bold"/>
                                <w:b/>
                                <w:color w:val="231F20"/>
                                <w:spacing w:val="-2"/>
                              </w:rPr>
                              <w:t>r</w:t>
                            </w:r>
                            <w:r>
                              <w:rPr>
                                <w:rFonts w:ascii="DaxlinePro-Bold"/>
                                <w:b/>
                                <w:color w:val="231F20"/>
                              </w:rPr>
                              <w:t xml:space="preserve">s </w:t>
                            </w:r>
                            <w:r>
                              <w:rPr>
                                <w:rFonts w:ascii="DaxlinePro-Bold"/>
                                <w:b/>
                                <w:color w:val="231F20"/>
                                <w:spacing w:val="-3"/>
                              </w:rPr>
                              <w:t>t</w:t>
                            </w:r>
                            <w:r>
                              <w:rPr>
                                <w:rFonts w:ascii="DaxlinePro-Bold"/>
                                <w:b/>
                                <w:color w:val="231F20"/>
                              </w:rPr>
                              <w:t xml:space="preserve">o </w:t>
                            </w:r>
                            <w:r>
                              <w:rPr>
                                <w:rFonts w:ascii="DaxlinePro-Bold"/>
                                <w:b/>
                                <w:color w:val="231F20"/>
                                <w:spacing w:val="-4"/>
                              </w:rPr>
                              <w:t>y</w:t>
                            </w:r>
                            <w:r>
                              <w:rPr>
                                <w:rFonts w:ascii="DaxlinePro-Bold"/>
                                <w:b/>
                                <w:color w:val="231F20"/>
                              </w:rPr>
                              <w:t>our que</w:t>
                            </w:r>
                            <w:r>
                              <w:rPr>
                                <w:rFonts w:ascii="DaxlinePro-Bold"/>
                                <w:b/>
                                <w:color w:val="231F20"/>
                                <w:spacing w:val="-2"/>
                              </w:rPr>
                              <w:t>s</w:t>
                            </w:r>
                            <w:r>
                              <w:rPr>
                                <w:rFonts w:ascii="DaxlinePro-Bold"/>
                                <w:b/>
                                <w:color w:val="231F20"/>
                              </w:rPr>
                              <w:t>tions about the Eu</w:t>
                            </w:r>
                            <w:r>
                              <w:rPr>
                                <w:rFonts w:ascii="DaxlinePro-Bold"/>
                                <w:b/>
                                <w:color w:val="231F20"/>
                                <w:spacing w:val="-5"/>
                              </w:rPr>
                              <w:t>r</w:t>
                            </w:r>
                            <w:r>
                              <w:rPr>
                                <w:rFonts w:ascii="DaxlinePro-Bold"/>
                                <w:b/>
                                <w:color w:val="231F20"/>
                              </w:rPr>
                              <w:t>op</w:t>
                            </w:r>
                            <w:r>
                              <w:rPr>
                                <w:rFonts w:ascii="DaxlinePro-Bold"/>
                                <w:b/>
                                <w:color w:val="231F20"/>
                                <w:spacing w:val="-2"/>
                              </w:rPr>
                              <w:t>e</w:t>
                            </w:r>
                            <w:r>
                              <w:rPr>
                                <w:rFonts w:ascii="DaxlinePro-Bold"/>
                                <w:b/>
                                <w:color w:val="231F20"/>
                              </w:rPr>
                              <w:t>an Union</w:t>
                            </w:r>
                          </w:p>
                          <w:p w14:paraId="7829D89B" w14:textId="77777777" w:rsidR="00E278E4" w:rsidRDefault="00E278E4" w:rsidP="007531C3">
                            <w:pPr>
                              <w:spacing w:before="8"/>
                              <w:rPr>
                                <w:rFonts w:ascii="DaxlinePro-Bold" w:eastAsia="DaxlinePro-Bold" w:hAnsi="DaxlinePro-Bold" w:cs="DaxlinePro-Bold"/>
                                <w:b/>
                                <w:bCs/>
                                <w:sz w:val="16"/>
                                <w:szCs w:val="16"/>
                              </w:rPr>
                            </w:pPr>
                          </w:p>
                          <w:p w14:paraId="7867BB0D" w14:textId="77777777" w:rsidR="00E278E4" w:rsidRDefault="00E278E4" w:rsidP="007531C3">
                            <w:pPr>
                              <w:spacing w:line="216" w:lineRule="exact"/>
                              <w:ind w:left="3880" w:right="3878"/>
                              <w:jc w:val="center"/>
                              <w:rPr>
                                <w:rFonts w:ascii="DaxlinePro-Regular" w:eastAsia="DaxlinePro-Regular" w:hAnsi="DaxlinePro-Regular" w:cs="DaxlinePro-Regular"/>
                                <w:sz w:val="18"/>
                                <w:szCs w:val="18"/>
                              </w:rPr>
                            </w:pPr>
                            <w:r>
                              <w:rPr>
                                <w:rFonts w:ascii="DaxlinePro-Regular"/>
                                <w:color w:val="231F20"/>
                                <w:spacing w:val="-1"/>
                                <w:sz w:val="18"/>
                              </w:rPr>
                              <w:t>F</w:t>
                            </w:r>
                            <w:r>
                              <w:rPr>
                                <w:rFonts w:ascii="DaxlinePro-Regular"/>
                                <w:color w:val="231F20"/>
                                <w:spacing w:val="-4"/>
                                <w:sz w:val="18"/>
                              </w:rPr>
                              <w:t>r</w:t>
                            </w:r>
                            <w:r>
                              <w:rPr>
                                <w:rFonts w:ascii="DaxlinePro-Regular"/>
                                <w:color w:val="231F20"/>
                                <w:sz w:val="18"/>
                              </w:rPr>
                              <w:t>eephone number (*): 00 800 6 7 8 9 10 11</w:t>
                            </w:r>
                          </w:p>
                          <w:p w14:paraId="3E7FCE98" w14:textId="77777777" w:rsidR="00E278E4" w:rsidRDefault="00E278E4" w:rsidP="007531C3">
                            <w:pPr>
                              <w:spacing w:before="2"/>
                              <w:rPr>
                                <w:rFonts w:ascii="DaxlinePro-Bold" w:eastAsia="DaxlinePro-Bold" w:hAnsi="DaxlinePro-Bold" w:cs="DaxlinePro-Bold"/>
                                <w:b/>
                                <w:bCs/>
                                <w:sz w:val="16"/>
                                <w:szCs w:val="16"/>
                              </w:rPr>
                            </w:pPr>
                          </w:p>
                          <w:p w14:paraId="48257436" w14:textId="77777777" w:rsidR="00E278E4" w:rsidRDefault="00E278E4" w:rsidP="007531C3">
                            <w:pPr>
                              <w:jc w:val="center"/>
                              <w:rPr>
                                <w:rFonts w:ascii="DaxlinePro-Regular" w:eastAsia="DaxlinePro-Regular" w:hAnsi="DaxlinePro-Regular" w:cs="DaxlinePro-Regular"/>
                                <w:sz w:val="14"/>
                                <w:szCs w:val="14"/>
                              </w:rPr>
                            </w:pPr>
                            <w:r>
                              <w:rPr>
                                <w:rFonts w:ascii="DaxlinePro-Regular"/>
                                <w:color w:val="231F20"/>
                                <w:sz w:val="14"/>
                              </w:rPr>
                              <w:t xml:space="preserve">(*) </w:t>
                            </w:r>
                            <w:r>
                              <w:rPr>
                                <w:rFonts w:ascii="DaxlinePro-Regular"/>
                                <w:color w:val="231F20"/>
                                <w:spacing w:val="1"/>
                                <w:sz w:val="14"/>
                              </w:rPr>
                              <w:t>T</w:t>
                            </w:r>
                            <w:r>
                              <w:rPr>
                                <w:rFonts w:ascii="DaxlinePro-Regular"/>
                                <w:color w:val="231F20"/>
                                <w:sz w:val="14"/>
                              </w:rPr>
                              <w:t>he i</w:t>
                            </w:r>
                            <w:r>
                              <w:rPr>
                                <w:rFonts w:ascii="DaxlinePro-Regular"/>
                                <w:color w:val="231F20"/>
                                <w:spacing w:val="-1"/>
                                <w:sz w:val="14"/>
                              </w:rPr>
                              <w:t>n</w:t>
                            </w:r>
                            <w:r>
                              <w:rPr>
                                <w:rFonts w:ascii="DaxlinePro-Regular"/>
                                <w:color w:val="231F20"/>
                                <w:spacing w:val="-3"/>
                                <w:sz w:val="14"/>
                              </w:rPr>
                              <w:t>f</w:t>
                            </w:r>
                            <w:r>
                              <w:rPr>
                                <w:rFonts w:ascii="DaxlinePro-Regular"/>
                                <w:color w:val="231F20"/>
                                <w:sz w:val="14"/>
                              </w:rPr>
                              <w:t>orm</w:t>
                            </w:r>
                            <w:r>
                              <w:rPr>
                                <w:rFonts w:ascii="DaxlinePro-Regular"/>
                                <w:color w:val="231F20"/>
                                <w:spacing w:val="-1"/>
                                <w:sz w:val="14"/>
                              </w:rPr>
                              <w:t>a</w:t>
                            </w:r>
                            <w:r>
                              <w:rPr>
                                <w:rFonts w:ascii="DaxlinePro-Regular"/>
                                <w:color w:val="231F20"/>
                                <w:sz w:val="14"/>
                              </w:rPr>
                              <w:t>tion gi</w:t>
                            </w:r>
                            <w:r>
                              <w:rPr>
                                <w:rFonts w:ascii="DaxlinePro-Regular"/>
                                <w:color w:val="231F20"/>
                                <w:spacing w:val="-2"/>
                                <w:sz w:val="14"/>
                              </w:rPr>
                              <w:t>v</w:t>
                            </w:r>
                            <w:r>
                              <w:rPr>
                                <w:rFonts w:ascii="DaxlinePro-Regular"/>
                                <w:color w:val="231F20"/>
                                <w:sz w:val="14"/>
                              </w:rPr>
                              <w:t>en is f</w:t>
                            </w:r>
                            <w:r>
                              <w:rPr>
                                <w:rFonts w:ascii="DaxlinePro-Regular"/>
                                <w:color w:val="231F20"/>
                                <w:spacing w:val="-3"/>
                                <w:sz w:val="14"/>
                              </w:rPr>
                              <w:t>r</w:t>
                            </w:r>
                            <w:r>
                              <w:rPr>
                                <w:rFonts w:ascii="DaxlinePro-Regular"/>
                                <w:color w:val="231F20"/>
                                <w:sz w:val="14"/>
                              </w:rPr>
                              <w:t>e</w:t>
                            </w:r>
                            <w:r>
                              <w:rPr>
                                <w:rFonts w:ascii="DaxlinePro-Regular"/>
                                <w:color w:val="231F20"/>
                                <w:spacing w:val="-2"/>
                                <w:sz w:val="14"/>
                              </w:rPr>
                              <w:t>e</w:t>
                            </w:r>
                            <w:r>
                              <w:rPr>
                                <w:rFonts w:ascii="DaxlinePro-Regular"/>
                                <w:color w:val="231F20"/>
                                <w:sz w:val="14"/>
                              </w:rPr>
                              <w:t>, as a</w:t>
                            </w:r>
                            <w:r>
                              <w:rPr>
                                <w:rFonts w:ascii="DaxlinePro-Regular"/>
                                <w:color w:val="231F20"/>
                                <w:spacing w:val="-3"/>
                                <w:sz w:val="14"/>
                              </w:rPr>
                              <w:t>r</w:t>
                            </w:r>
                            <w:r>
                              <w:rPr>
                                <w:rFonts w:ascii="DaxlinePro-Regular"/>
                                <w:color w:val="231F20"/>
                                <w:sz w:val="14"/>
                              </w:rPr>
                              <w:t>e mo</w:t>
                            </w:r>
                            <w:r>
                              <w:rPr>
                                <w:rFonts w:ascii="DaxlinePro-Regular"/>
                                <w:color w:val="231F20"/>
                                <w:spacing w:val="-1"/>
                                <w:sz w:val="14"/>
                              </w:rPr>
                              <w:t>s</w:t>
                            </w:r>
                            <w:r>
                              <w:rPr>
                                <w:rFonts w:ascii="DaxlinePro-Regular"/>
                                <w:color w:val="231F20"/>
                                <w:sz w:val="14"/>
                              </w:rPr>
                              <w:t>t ca</w:t>
                            </w:r>
                            <w:r>
                              <w:rPr>
                                <w:rFonts w:ascii="DaxlinePro-Regular"/>
                                <w:color w:val="231F20"/>
                                <w:spacing w:val="1"/>
                                <w:sz w:val="14"/>
                              </w:rPr>
                              <w:t>l</w:t>
                            </w:r>
                            <w:r>
                              <w:rPr>
                                <w:rFonts w:ascii="DaxlinePro-Regular"/>
                                <w:color w:val="231F20"/>
                                <w:sz w:val="14"/>
                              </w:rPr>
                              <w:t xml:space="preserve">ls </w:t>
                            </w:r>
                            <w:r>
                              <w:rPr>
                                <w:rFonts w:ascii="DaxlinePro-Regular"/>
                                <w:color w:val="231F20"/>
                                <w:spacing w:val="-3"/>
                                <w:sz w:val="14"/>
                              </w:rPr>
                              <w:t>(</w:t>
                            </w:r>
                            <w:r>
                              <w:rPr>
                                <w:rFonts w:ascii="DaxlinePro-Regular"/>
                                <w:color w:val="231F20"/>
                                <w:sz w:val="14"/>
                              </w:rPr>
                              <w:t>though some ope</w:t>
                            </w:r>
                            <w:r>
                              <w:rPr>
                                <w:rFonts w:ascii="DaxlinePro-Regular"/>
                                <w:color w:val="231F20"/>
                                <w:spacing w:val="-2"/>
                                <w:sz w:val="14"/>
                              </w:rPr>
                              <w:t>r</w:t>
                            </w:r>
                            <w:r>
                              <w:rPr>
                                <w:rFonts w:ascii="DaxlinePro-Regular"/>
                                <w:color w:val="231F20"/>
                                <w:spacing w:val="-1"/>
                                <w:sz w:val="14"/>
                              </w:rPr>
                              <w:t>a</w:t>
                            </w:r>
                            <w:r>
                              <w:rPr>
                                <w:rFonts w:ascii="DaxlinePro-Regular"/>
                                <w:color w:val="231F20"/>
                                <w:spacing w:val="-2"/>
                                <w:sz w:val="14"/>
                              </w:rPr>
                              <w:t>t</w:t>
                            </w:r>
                            <w:r>
                              <w:rPr>
                                <w:rFonts w:ascii="DaxlinePro-Regular"/>
                                <w:color w:val="231F20"/>
                                <w:sz w:val="14"/>
                              </w:rPr>
                              <w:t>o</w:t>
                            </w:r>
                            <w:r>
                              <w:rPr>
                                <w:rFonts w:ascii="DaxlinePro-Regular"/>
                                <w:color w:val="231F20"/>
                                <w:spacing w:val="-1"/>
                                <w:sz w:val="14"/>
                              </w:rPr>
                              <w:t>r</w:t>
                            </w:r>
                            <w:r>
                              <w:rPr>
                                <w:rFonts w:ascii="DaxlinePro-Regular"/>
                                <w:color w:val="231F20"/>
                                <w:spacing w:val="-2"/>
                                <w:sz w:val="14"/>
                              </w:rPr>
                              <w:t>s</w:t>
                            </w:r>
                            <w:r>
                              <w:rPr>
                                <w:rFonts w:ascii="DaxlinePro-Regular"/>
                                <w:color w:val="231F20"/>
                                <w:sz w:val="14"/>
                              </w:rPr>
                              <w:t>, phone b</w:t>
                            </w:r>
                            <w:r>
                              <w:rPr>
                                <w:rFonts w:ascii="DaxlinePro-Regular"/>
                                <w:color w:val="231F20"/>
                                <w:spacing w:val="-3"/>
                                <w:sz w:val="14"/>
                              </w:rPr>
                              <w:t>ox</w:t>
                            </w:r>
                            <w:r>
                              <w:rPr>
                                <w:rFonts w:ascii="DaxlinePro-Regular"/>
                                <w:color w:val="231F20"/>
                                <w:sz w:val="14"/>
                              </w:rPr>
                              <w:t>es or h</w:t>
                            </w:r>
                            <w:r>
                              <w:rPr>
                                <w:rFonts w:ascii="DaxlinePro-Regular"/>
                                <w:color w:val="231F20"/>
                                <w:spacing w:val="-1"/>
                                <w:sz w:val="14"/>
                              </w:rPr>
                              <w:t>o</w:t>
                            </w:r>
                            <w:r>
                              <w:rPr>
                                <w:rFonts w:ascii="DaxlinePro-Regular"/>
                                <w:color w:val="231F20"/>
                                <w:spacing w:val="-2"/>
                                <w:sz w:val="14"/>
                              </w:rPr>
                              <w:t>t</w:t>
                            </w:r>
                            <w:r>
                              <w:rPr>
                                <w:rFonts w:ascii="DaxlinePro-Regular"/>
                                <w:color w:val="231F20"/>
                                <w:sz w:val="14"/>
                              </w:rPr>
                              <w:t>els m</w:t>
                            </w:r>
                            <w:r>
                              <w:rPr>
                                <w:rFonts w:ascii="DaxlinePro-Regular"/>
                                <w:color w:val="231F20"/>
                                <w:spacing w:val="-2"/>
                                <w:sz w:val="14"/>
                              </w:rPr>
                              <w:t>a</w:t>
                            </w:r>
                            <w:r>
                              <w:rPr>
                                <w:rFonts w:ascii="DaxlinePro-Regular"/>
                                <w:color w:val="231F20"/>
                                <w:sz w:val="14"/>
                              </w:rPr>
                              <w:t>y cha</w:t>
                            </w:r>
                            <w:r>
                              <w:rPr>
                                <w:rFonts w:ascii="DaxlinePro-Regular"/>
                                <w:color w:val="231F20"/>
                                <w:spacing w:val="-3"/>
                                <w:sz w:val="14"/>
                              </w:rPr>
                              <w:t>r</w:t>
                            </w:r>
                            <w:r>
                              <w:rPr>
                                <w:rFonts w:ascii="DaxlinePro-Regular"/>
                                <w:color w:val="231F20"/>
                                <w:sz w:val="14"/>
                              </w:rPr>
                              <w:t xml:space="preserve">ge </w:t>
                            </w:r>
                            <w:r>
                              <w:rPr>
                                <w:rFonts w:ascii="DaxlinePro-Regular"/>
                                <w:color w:val="231F20"/>
                                <w:spacing w:val="-2"/>
                                <w:sz w:val="14"/>
                              </w:rPr>
                              <w:t>y</w:t>
                            </w:r>
                            <w:r>
                              <w:rPr>
                                <w:rFonts w:ascii="DaxlinePro-Regular"/>
                                <w:color w:val="231F20"/>
                                <w:sz w:val="14"/>
                              </w:rPr>
                              <w:t>o</w:t>
                            </w:r>
                            <w:r>
                              <w:rPr>
                                <w:rFonts w:ascii="DaxlinePro-Regular"/>
                                <w:color w:val="231F20"/>
                                <w:spacing w:val="-3"/>
                                <w:sz w:val="14"/>
                              </w:rPr>
                              <w:t>u)</w:t>
                            </w:r>
                            <w:r>
                              <w:rPr>
                                <w:rFonts w:ascii="DaxlinePro-Regular"/>
                                <w:color w:val="231F20"/>
                                <w:sz w:val="14"/>
                              </w:rPr>
                              <w:t>.</w:t>
                            </w:r>
                          </w:p>
                        </w:txbxContent>
                      </wps:txbx>
                      <wps:bodyPr rot="0" vert="horz" wrap="square" lIns="0" tIns="0" rIns="0" bIns="0" anchor="t" anchorCtr="0" upright="1">
                        <a:noAutofit/>
                      </wps:bodyPr>
                    </wps:wsp>
                  </a:graphicData>
                </a:graphic>
              </wp:inline>
            </w:drawing>
          </mc:Choice>
          <mc:Fallback>
            <w:pict>
              <v:shapetype w14:anchorId="1FD3690A" id="_x0000_t202" coordsize="21600,21600" o:spt="202" path="m,l,21600r21600,l21600,xe">
                <v:stroke joinstyle="miter"/>
                <v:path gradientshapeok="t" o:connecttype="rect"/>
              </v:shapetype>
              <v:shape id="Text Box 270" o:spid="_x0000_s1026" type="#_x0000_t202" style="width:481.4pt;height:1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" filled="f" strokecolor="#231f20" strokeweight=".5pt">
                <v:textbox inset="0,0,0,0">
                  <w:txbxContent>
                    <w:p w14:paraId="43EC0DAF" w14:textId="77777777" w:rsidR="00E278E4" w:rsidRDefault="00E278E4" w:rsidP="007531C3">
                      <w:pPr>
                        <w:rPr>
                          <w:rFonts w:ascii="DaxlinePro-Bold" w:eastAsia="DaxlinePro-Bold" w:hAnsi="DaxlinePro-Bold" w:cs="DaxlinePro-Bold"/>
                          <w:b/>
                          <w:bCs/>
                        </w:rPr>
                      </w:pPr>
                    </w:p>
                    <w:p w14:paraId="51D5C119" w14:textId="77777777" w:rsidR="00E278E4" w:rsidRDefault="00E278E4" w:rsidP="007531C3">
                      <w:pPr>
                        <w:spacing w:before="8"/>
                        <w:rPr>
                          <w:rFonts w:ascii="DaxlinePro-Bold" w:eastAsia="DaxlinePro-Bold" w:hAnsi="DaxlinePro-Bold" w:cs="DaxlinePro-Bold"/>
                          <w:b/>
                          <w:bCs/>
                          <w:sz w:val="20"/>
                          <w:szCs w:val="20"/>
                        </w:rPr>
                      </w:pPr>
                    </w:p>
                    <w:p w14:paraId="105DC3B6" w14:textId="77777777" w:rsidR="00E278E4" w:rsidRDefault="00E278E4" w:rsidP="007531C3">
                      <w:pPr>
                        <w:spacing w:line="264" w:lineRule="exact"/>
                        <w:ind w:left="2315" w:right="2313"/>
                        <w:jc w:val="center"/>
                        <w:rPr>
                          <w:rFonts w:ascii="DaxlinePro-Bold" w:eastAsia="DaxlinePro-Bold" w:hAnsi="DaxlinePro-Bold" w:cs="DaxlinePro-Bold"/>
                        </w:rPr>
                      </w:pPr>
                      <w:r>
                        <w:rPr>
                          <w:rFonts w:ascii="DaxlinePro-Bold"/>
                          <w:b/>
                          <w:color w:val="231F20"/>
                        </w:rPr>
                        <w:t>Eu</w:t>
                      </w:r>
                      <w:r>
                        <w:rPr>
                          <w:rFonts w:ascii="DaxlinePro-Bold"/>
                          <w:b/>
                          <w:color w:val="231F20"/>
                          <w:spacing w:val="-5"/>
                        </w:rPr>
                        <w:t>r</w:t>
                      </w:r>
                      <w:r>
                        <w:rPr>
                          <w:rFonts w:ascii="DaxlinePro-Bold"/>
                          <w:b/>
                          <w:color w:val="231F20"/>
                        </w:rPr>
                        <w:t>ope Di</w:t>
                      </w:r>
                      <w:r>
                        <w:rPr>
                          <w:rFonts w:ascii="DaxlinePro-Bold"/>
                          <w:b/>
                          <w:color w:val="231F20"/>
                          <w:spacing w:val="-5"/>
                        </w:rPr>
                        <w:t>r</w:t>
                      </w:r>
                      <w:r>
                        <w:rPr>
                          <w:rFonts w:ascii="DaxlinePro-Bold"/>
                          <w:b/>
                          <w:color w:val="231F20"/>
                        </w:rPr>
                        <w:t>ect is a servi</w:t>
                      </w:r>
                      <w:r>
                        <w:rPr>
                          <w:rFonts w:ascii="DaxlinePro-Bold"/>
                          <w:b/>
                          <w:color w:val="231F20"/>
                          <w:spacing w:val="-5"/>
                        </w:rPr>
                        <w:t>c</w:t>
                      </w:r>
                      <w:r>
                        <w:rPr>
                          <w:rFonts w:ascii="DaxlinePro-Bold"/>
                          <w:b/>
                          <w:color w:val="231F20"/>
                        </w:rPr>
                        <w:t xml:space="preserve">e </w:t>
                      </w:r>
                      <w:r>
                        <w:rPr>
                          <w:rFonts w:ascii="DaxlinePro-Bold"/>
                          <w:b/>
                          <w:color w:val="231F20"/>
                          <w:spacing w:val="-3"/>
                        </w:rPr>
                        <w:t>t</w:t>
                      </w:r>
                      <w:r>
                        <w:rPr>
                          <w:rFonts w:ascii="DaxlinePro-Bold"/>
                          <w:b/>
                          <w:color w:val="231F20"/>
                        </w:rPr>
                        <w:t xml:space="preserve">o help </w:t>
                      </w:r>
                      <w:r>
                        <w:rPr>
                          <w:rFonts w:ascii="DaxlinePro-Bold"/>
                          <w:b/>
                          <w:color w:val="231F20"/>
                          <w:spacing w:val="-4"/>
                        </w:rPr>
                        <w:t>y</w:t>
                      </w:r>
                      <w:r>
                        <w:rPr>
                          <w:rFonts w:ascii="DaxlinePro-Bold"/>
                          <w:b/>
                          <w:color w:val="231F20"/>
                        </w:rPr>
                        <w:t>ou find an</w:t>
                      </w:r>
                      <w:r>
                        <w:rPr>
                          <w:rFonts w:ascii="DaxlinePro-Bold"/>
                          <w:b/>
                          <w:color w:val="231F20"/>
                          <w:spacing w:val="-1"/>
                        </w:rPr>
                        <w:t>s</w:t>
                      </w:r>
                      <w:r>
                        <w:rPr>
                          <w:rFonts w:ascii="DaxlinePro-Bold"/>
                          <w:b/>
                          <w:color w:val="231F20"/>
                          <w:spacing w:val="-4"/>
                        </w:rPr>
                        <w:t>w</w:t>
                      </w:r>
                      <w:r>
                        <w:rPr>
                          <w:rFonts w:ascii="DaxlinePro-Bold"/>
                          <w:b/>
                          <w:color w:val="231F20"/>
                        </w:rPr>
                        <w:t>e</w:t>
                      </w:r>
                      <w:r>
                        <w:rPr>
                          <w:rFonts w:ascii="DaxlinePro-Bold"/>
                          <w:b/>
                          <w:color w:val="231F20"/>
                          <w:spacing w:val="-2"/>
                        </w:rPr>
                        <w:t>r</w:t>
                      </w:r>
                      <w:r>
                        <w:rPr>
                          <w:rFonts w:ascii="DaxlinePro-Bold"/>
                          <w:b/>
                          <w:color w:val="231F20"/>
                        </w:rPr>
                        <w:t xml:space="preserve">s </w:t>
                      </w:r>
                      <w:r>
                        <w:rPr>
                          <w:rFonts w:ascii="DaxlinePro-Bold"/>
                          <w:b/>
                          <w:color w:val="231F20"/>
                          <w:spacing w:val="-3"/>
                        </w:rPr>
                        <w:t>t</w:t>
                      </w:r>
                      <w:r>
                        <w:rPr>
                          <w:rFonts w:ascii="DaxlinePro-Bold"/>
                          <w:b/>
                          <w:color w:val="231F20"/>
                        </w:rPr>
                        <w:t xml:space="preserve">o </w:t>
                      </w:r>
                      <w:r>
                        <w:rPr>
                          <w:rFonts w:ascii="DaxlinePro-Bold"/>
                          <w:b/>
                          <w:color w:val="231F20"/>
                          <w:spacing w:val="-4"/>
                        </w:rPr>
                        <w:t>y</w:t>
                      </w:r>
                      <w:r>
                        <w:rPr>
                          <w:rFonts w:ascii="DaxlinePro-Bold"/>
                          <w:b/>
                          <w:color w:val="231F20"/>
                        </w:rPr>
                        <w:t>our que</w:t>
                      </w:r>
                      <w:r>
                        <w:rPr>
                          <w:rFonts w:ascii="DaxlinePro-Bold"/>
                          <w:b/>
                          <w:color w:val="231F20"/>
                          <w:spacing w:val="-2"/>
                        </w:rPr>
                        <w:t>s</w:t>
                      </w:r>
                      <w:r>
                        <w:rPr>
                          <w:rFonts w:ascii="DaxlinePro-Bold"/>
                          <w:b/>
                          <w:color w:val="231F20"/>
                        </w:rPr>
                        <w:t>tions about the Eu</w:t>
                      </w:r>
                      <w:r>
                        <w:rPr>
                          <w:rFonts w:ascii="DaxlinePro-Bold"/>
                          <w:b/>
                          <w:color w:val="231F20"/>
                          <w:spacing w:val="-5"/>
                        </w:rPr>
                        <w:t>r</w:t>
                      </w:r>
                      <w:r>
                        <w:rPr>
                          <w:rFonts w:ascii="DaxlinePro-Bold"/>
                          <w:b/>
                          <w:color w:val="231F20"/>
                        </w:rPr>
                        <w:t>op</w:t>
                      </w:r>
                      <w:r>
                        <w:rPr>
                          <w:rFonts w:ascii="DaxlinePro-Bold"/>
                          <w:b/>
                          <w:color w:val="231F20"/>
                          <w:spacing w:val="-2"/>
                        </w:rPr>
                        <w:t>e</w:t>
                      </w:r>
                      <w:r>
                        <w:rPr>
                          <w:rFonts w:ascii="DaxlinePro-Bold"/>
                          <w:b/>
                          <w:color w:val="231F20"/>
                        </w:rPr>
                        <w:t>an Union</w:t>
                      </w:r>
                    </w:p>
                    <w:p w14:paraId="7829D89B" w14:textId="77777777" w:rsidR="00E278E4" w:rsidRDefault="00E278E4" w:rsidP="007531C3">
                      <w:pPr>
                        <w:spacing w:before="8"/>
                        <w:rPr>
                          <w:rFonts w:ascii="DaxlinePro-Bold" w:eastAsia="DaxlinePro-Bold" w:hAnsi="DaxlinePro-Bold" w:cs="DaxlinePro-Bold"/>
                          <w:b/>
                          <w:bCs/>
                          <w:sz w:val="16"/>
                          <w:szCs w:val="16"/>
                        </w:rPr>
                      </w:pPr>
                    </w:p>
                    <w:p w14:paraId="7867BB0D" w14:textId="77777777" w:rsidR="00E278E4" w:rsidRDefault="00E278E4" w:rsidP="007531C3">
                      <w:pPr>
                        <w:spacing w:line="216" w:lineRule="exact"/>
                        <w:ind w:left="3880" w:right="3878"/>
                        <w:jc w:val="center"/>
                        <w:rPr>
                          <w:rFonts w:ascii="DaxlinePro-Regular" w:eastAsia="DaxlinePro-Regular" w:hAnsi="DaxlinePro-Regular" w:cs="DaxlinePro-Regular"/>
                          <w:sz w:val="18"/>
                          <w:szCs w:val="18"/>
                        </w:rPr>
                      </w:pPr>
                      <w:r>
                        <w:rPr>
                          <w:rFonts w:ascii="DaxlinePro-Regular"/>
                          <w:color w:val="231F20"/>
                          <w:spacing w:val="-1"/>
                          <w:sz w:val="18"/>
                        </w:rPr>
                        <w:t>F</w:t>
                      </w:r>
                      <w:r>
                        <w:rPr>
                          <w:rFonts w:ascii="DaxlinePro-Regular"/>
                          <w:color w:val="231F20"/>
                          <w:spacing w:val="-4"/>
                          <w:sz w:val="18"/>
                        </w:rPr>
                        <w:t>r</w:t>
                      </w:r>
                      <w:r>
                        <w:rPr>
                          <w:rFonts w:ascii="DaxlinePro-Regular"/>
                          <w:color w:val="231F20"/>
                          <w:sz w:val="18"/>
                        </w:rPr>
                        <w:t>eephone number (*): 00 800 6 7 8 9 10 11</w:t>
                      </w:r>
                    </w:p>
                    <w:p w14:paraId="3E7FCE98" w14:textId="77777777" w:rsidR="00E278E4" w:rsidRDefault="00E278E4" w:rsidP="007531C3">
                      <w:pPr>
                        <w:spacing w:before="2"/>
                        <w:rPr>
                          <w:rFonts w:ascii="DaxlinePro-Bold" w:eastAsia="DaxlinePro-Bold" w:hAnsi="DaxlinePro-Bold" w:cs="DaxlinePro-Bold"/>
                          <w:b/>
                          <w:bCs/>
                          <w:sz w:val="16"/>
                          <w:szCs w:val="16"/>
                        </w:rPr>
                      </w:pPr>
                    </w:p>
                    <w:p w14:paraId="48257436" w14:textId="77777777" w:rsidR="00E278E4" w:rsidRDefault="00E278E4" w:rsidP="007531C3">
                      <w:pPr>
                        <w:jc w:val="center"/>
                        <w:rPr>
                          <w:rFonts w:ascii="DaxlinePro-Regular" w:eastAsia="DaxlinePro-Regular" w:hAnsi="DaxlinePro-Regular" w:cs="DaxlinePro-Regular"/>
                          <w:sz w:val="14"/>
                          <w:szCs w:val="14"/>
                        </w:rPr>
                      </w:pPr>
                      <w:r>
                        <w:rPr>
                          <w:rFonts w:ascii="DaxlinePro-Regular"/>
                          <w:color w:val="231F20"/>
                          <w:sz w:val="14"/>
                        </w:rPr>
                        <w:t xml:space="preserve">(*) </w:t>
                      </w:r>
                      <w:r>
                        <w:rPr>
                          <w:rFonts w:ascii="DaxlinePro-Regular"/>
                          <w:color w:val="231F20"/>
                          <w:spacing w:val="1"/>
                          <w:sz w:val="14"/>
                        </w:rPr>
                        <w:t>T</w:t>
                      </w:r>
                      <w:r>
                        <w:rPr>
                          <w:rFonts w:ascii="DaxlinePro-Regular"/>
                          <w:color w:val="231F20"/>
                          <w:sz w:val="14"/>
                        </w:rPr>
                        <w:t>he i</w:t>
                      </w:r>
                      <w:r>
                        <w:rPr>
                          <w:rFonts w:ascii="DaxlinePro-Regular"/>
                          <w:color w:val="231F20"/>
                          <w:spacing w:val="-1"/>
                          <w:sz w:val="14"/>
                        </w:rPr>
                        <w:t>n</w:t>
                      </w:r>
                      <w:r>
                        <w:rPr>
                          <w:rFonts w:ascii="DaxlinePro-Regular"/>
                          <w:color w:val="231F20"/>
                          <w:spacing w:val="-3"/>
                          <w:sz w:val="14"/>
                        </w:rPr>
                        <w:t>f</w:t>
                      </w:r>
                      <w:r>
                        <w:rPr>
                          <w:rFonts w:ascii="DaxlinePro-Regular"/>
                          <w:color w:val="231F20"/>
                          <w:sz w:val="14"/>
                        </w:rPr>
                        <w:t>orm</w:t>
                      </w:r>
                      <w:r>
                        <w:rPr>
                          <w:rFonts w:ascii="DaxlinePro-Regular"/>
                          <w:color w:val="231F20"/>
                          <w:spacing w:val="-1"/>
                          <w:sz w:val="14"/>
                        </w:rPr>
                        <w:t>a</w:t>
                      </w:r>
                      <w:r>
                        <w:rPr>
                          <w:rFonts w:ascii="DaxlinePro-Regular"/>
                          <w:color w:val="231F20"/>
                          <w:sz w:val="14"/>
                        </w:rPr>
                        <w:t>tion gi</w:t>
                      </w:r>
                      <w:r>
                        <w:rPr>
                          <w:rFonts w:ascii="DaxlinePro-Regular"/>
                          <w:color w:val="231F20"/>
                          <w:spacing w:val="-2"/>
                          <w:sz w:val="14"/>
                        </w:rPr>
                        <w:t>v</w:t>
                      </w:r>
                      <w:r>
                        <w:rPr>
                          <w:rFonts w:ascii="DaxlinePro-Regular"/>
                          <w:color w:val="231F20"/>
                          <w:sz w:val="14"/>
                        </w:rPr>
                        <w:t>en is f</w:t>
                      </w:r>
                      <w:r>
                        <w:rPr>
                          <w:rFonts w:ascii="DaxlinePro-Regular"/>
                          <w:color w:val="231F20"/>
                          <w:spacing w:val="-3"/>
                          <w:sz w:val="14"/>
                        </w:rPr>
                        <w:t>r</w:t>
                      </w:r>
                      <w:r>
                        <w:rPr>
                          <w:rFonts w:ascii="DaxlinePro-Regular"/>
                          <w:color w:val="231F20"/>
                          <w:sz w:val="14"/>
                        </w:rPr>
                        <w:t>e</w:t>
                      </w:r>
                      <w:r>
                        <w:rPr>
                          <w:rFonts w:ascii="DaxlinePro-Regular"/>
                          <w:color w:val="231F20"/>
                          <w:spacing w:val="-2"/>
                          <w:sz w:val="14"/>
                        </w:rPr>
                        <w:t>e</w:t>
                      </w:r>
                      <w:r>
                        <w:rPr>
                          <w:rFonts w:ascii="DaxlinePro-Regular"/>
                          <w:color w:val="231F20"/>
                          <w:sz w:val="14"/>
                        </w:rPr>
                        <w:t>, as a</w:t>
                      </w:r>
                      <w:r>
                        <w:rPr>
                          <w:rFonts w:ascii="DaxlinePro-Regular"/>
                          <w:color w:val="231F20"/>
                          <w:spacing w:val="-3"/>
                          <w:sz w:val="14"/>
                        </w:rPr>
                        <w:t>r</w:t>
                      </w:r>
                      <w:r>
                        <w:rPr>
                          <w:rFonts w:ascii="DaxlinePro-Regular"/>
                          <w:color w:val="231F20"/>
                          <w:sz w:val="14"/>
                        </w:rPr>
                        <w:t>e mo</w:t>
                      </w:r>
                      <w:r>
                        <w:rPr>
                          <w:rFonts w:ascii="DaxlinePro-Regular"/>
                          <w:color w:val="231F20"/>
                          <w:spacing w:val="-1"/>
                          <w:sz w:val="14"/>
                        </w:rPr>
                        <w:t>s</w:t>
                      </w:r>
                      <w:r>
                        <w:rPr>
                          <w:rFonts w:ascii="DaxlinePro-Regular"/>
                          <w:color w:val="231F20"/>
                          <w:sz w:val="14"/>
                        </w:rPr>
                        <w:t>t ca</w:t>
                      </w:r>
                      <w:r>
                        <w:rPr>
                          <w:rFonts w:ascii="DaxlinePro-Regular"/>
                          <w:color w:val="231F20"/>
                          <w:spacing w:val="1"/>
                          <w:sz w:val="14"/>
                        </w:rPr>
                        <w:t>l</w:t>
                      </w:r>
                      <w:r>
                        <w:rPr>
                          <w:rFonts w:ascii="DaxlinePro-Regular"/>
                          <w:color w:val="231F20"/>
                          <w:sz w:val="14"/>
                        </w:rPr>
                        <w:t xml:space="preserve">ls </w:t>
                      </w:r>
                      <w:r>
                        <w:rPr>
                          <w:rFonts w:ascii="DaxlinePro-Regular"/>
                          <w:color w:val="231F20"/>
                          <w:spacing w:val="-3"/>
                          <w:sz w:val="14"/>
                        </w:rPr>
                        <w:t>(</w:t>
                      </w:r>
                      <w:r>
                        <w:rPr>
                          <w:rFonts w:ascii="DaxlinePro-Regular"/>
                          <w:color w:val="231F20"/>
                          <w:sz w:val="14"/>
                        </w:rPr>
                        <w:t>though some ope</w:t>
                      </w:r>
                      <w:r>
                        <w:rPr>
                          <w:rFonts w:ascii="DaxlinePro-Regular"/>
                          <w:color w:val="231F20"/>
                          <w:spacing w:val="-2"/>
                          <w:sz w:val="14"/>
                        </w:rPr>
                        <w:t>r</w:t>
                      </w:r>
                      <w:r>
                        <w:rPr>
                          <w:rFonts w:ascii="DaxlinePro-Regular"/>
                          <w:color w:val="231F20"/>
                          <w:spacing w:val="-1"/>
                          <w:sz w:val="14"/>
                        </w:rPr>
                        <w:t>a</w:t>
                      </w:r>
                      <w:r>
                        <w:rPr>
                          <w:rFonts w:ascii="DaxlinePro-Regular"/>
                          <w:color w:val="231F20"/>
                          <w:spacing w:val="-2"/>
                          <w:sz w:val="14"/>
                        </w:rPr>
                        <w:t>t</w:t>
                      </w:r>
                      <w:r>
                        <w:rPr>
                          <w:rFonts w:ascii="DaxlinePro-Regular"/>
                          <w:color w:val="231F20"/>
                          <w:sz w:val="14"/>
                        </w:rPr>
                        <w:t>o</w:t>
                      </w:r>
                      <w:r>
                        <w:rPr>
                          <w:rFonts w:ascii="DaxlinePro-Regular"/>
                          <w:color w:val="231F20"/>
                          <w:spacing w:val="-1"/>
                          <w:sz w:val="14"/>
                        </w:rPr>
                        <w:t>r</w:t>
                      </w:r>
                      <w:r>
                        <w:rPr>
                          <w:rFonts w:ascii="DaxlinePro-Regular"/>
                          <w:color w:val="231F20"/>
                          <w:spacing w:val="-2"/>
                          <w:sz w:val="14"/>
                        </w:rPr>
                        <w:t>s</w:t>
                      </w:r>
                      <w:r>
                        <w:rPr>
                          <w:rFonts w:ascii="DaxlinePro-Regular"/>
                          <w:color w:val="231F20"/>
                          <w:sz w:val="14"/>
                        </w:rPr>
                        <w:t>, phone b</w:t>
                      </w:r>
                      <w:r>
                        <w:rPr>
                          <w:rFonts w:ascii="DaxlinePro-Regular"/>
                          <w:color w:val="231F20"/>
                          <w:spacing w:val="-3"/>
                          <w:sz w:val="14"/>
                        </w:rPr>
                        <w:t>ox</w:t>
                      </w:r>
                      <w:r>
                        <w:rPr>
                          <w:rFonts w:ascii="DaxlinePro-Regular"/>
                          <w:color w:val="231F20"/>
                          <w:sz w:val="14"/>
                        </w:rPr>
                        <w:t>es or h</w:t>
                      </w:r>
                      <w:r>
                        <w:rPr>
                          <w:rFonts w:ascii="DaxlinePro-Regular"/>
                          <w:color w:val="231F20"/>
                          <w:spacing w:val="-1"/>
                          <w:sz w:val="14"/>
                        </w:rPr>
                        <w:t>o</w:t>
                      </w:r>
                      <w:r>
                        <w:rPr>
                          <w:rFonts w:ascii="DaxlinePro-Regular"/>
                          <w:color w:val="231F20"/>
                          <w:spacing w:val="-2"/>
                          <w:sz w:val="14"/>
                        </w:rPr>
                        <w:t>t</w:t>
                      </w:r>
                      <w:r>
                        <w:rPr>
                          <w:rFonts w:ascii="DaxlinePro-Regular"/>
                          <w:color w:val="231F20"/>
                          <w:sz w:val="14"/>
                        </w:rPr>
                        <w:t>els m</w:t>
                      </w:r>
                      <w:r>
                        <w:rPr>
                          <w:rFonts w:ascii="DaxlinePro-Regular"/>
                          <w:color w:val="231F20"/>
                          <w:spacing w:val="-2"/>
                          <w:sz w:val="14"/>
                        </w:rPr>
                        <w:t>a</w:t>
                      </w:r>
                      <w:r>
                        <w:rPr>
                          <w:rFonts w:ascii="DaxlinePro-Regular"/>
                          <w:color w:val="231F20"/>
                          <w:sz w:val="14"/>
                        </w:rPr>
                        <w:t>y cha</w:t>
                      </w:r>
                      <w:r>
                        <w:rPr>
                          <w:rFonts w:ascii="DaxlinePro-Regular"/>
                          <w:color w:val="231F20"/>
                          <w:spacing w:val="-3"/>
                          <w:sz w:val="14"/>
                        </w:rPr>
                        <w:t>r</w:t>
                      </w:r>
                      <w:r>
                        <w:rPr>
                          <w:rFonts w:ascii="DaxlinePro-Regular"/>
                          <w:color w:val="231F20"/>
                          <w:sz w:val="14"/>
                        </w:rPr>
                        <w:t xml:space="preserve">ge </w:t>
                      </w:r>
                      <w:r>
                        <w:rPr>
                          <w:rFonts w:ascii="DaxlinePro-Regular"/>
                          <w:color w:val="231F20"/>
                          <w:spacing w:val="-2"/>
                          <w:sz w:val="14"/>
                        </w:rPr>
                        <w:t>y</w:t>
                      </w:r>
                      <w:r>
                        <w:rPr>
                          <w:rFonts w:ascii="DaxlinePro-Regular"/>
                          <w:color w:val="231F20"/>
                          <w:sz w:val="14"/>
                        </w:rPr>
                        <w:t>o</w:t>
                      </w:r>
                      <w:r>
                        <w:rPr>
                          <w:rFonts w:ascii="DaxlinePro-Regular"/>
                          <w:color w:val="231F20"/>
                          <w:spacing w:val="-3"/>
                          <w:sz w:val="14"/>
                        </w:rPr>
                        <w:t>u)</w:t>
                      </w:r>
                      <w:r>
                        <w:rPr>
                          <w:rFonts w:ascii="DaxlinePro-Regular"/>
                          <w:color w:val="231F20"/>
                          <w:sz w:val="14"/>
                        </w:rPr>
                        <w:t>.</w:t>
                      </w:r>
                    </w:p>
                  </w:txbxContent>
                </v:textbox>
                <w10:anchorlock/>
              </v:shape>
            </w:pict>
          </mc:Fallback>
        </mc:AlternateContent>
      </w:r>
    </w:p>
    <w:p w14:paraId="708AC25E" w14:textId="77777777" w:rsidR="007531C3" w:rsidRDefault="007531C3" w:rsidP="007531C3">
      <w:pPr>
        <w:rPr>
          <w:rFonts w:ascii="DaxlinePro-Bold" w:eastAsia="DaxlinePro-Bold" w:hAnsi="DaxlinePro-Bold" w:cs="DaxlinePro-Bold"/>
          <w:b/>
          <w:bCs/>
          <w:sz w:val="20"/>
          <w:szCs w:val="20"/>
        </w:rPr>
      </w:pPr>
    </w:p>
    <w:p w14:paraId="0B4589AA" w14:textId="77777777" w:rsidR="007531C3" w:rsidRDefault="007531C3" w:rsidP="007531C3">
      <w:pPr>
        <w:rPr>
          <w:rFonts w:ascii="DaxlinePro-Bold" w:eastAsia="DaxlinePro-Bold" w:hAnsi="DaxlinePro-Bold" w:cs="DaxlinePro-Bold"/>
          <w:b/>
          <w:bCs/>
          <w:sz w:val="20"/>
          <w:szCs w:val="20"/>
        </w:rPr>
      </w:pPr>
    </w:p>
    <w:p w14:paraId="05BEFC34" w14:textId="77777777" w:rsidR="007531C3" w:rsidRDefault="007531C3" w:rsidP="007531C3">
      <w:pPr>
        <w:rPr>
          <w:rFonts w:ascii="DaxlinePro-Bold" w:eastAsia="DaxlinePro-Bold" w:hAnsi="DaxlinePro-Bold" w:cs="DaxlinePro-Bold"/>
          <w:b/>
          <w:bCs/>
          <w:sz w:val="20"/>
          <w:szCs w:val="20"/>
        </w:rPr>
      </w:pPr>
    </w:p>
    <w:p w14:paraId="0ADE0846" w14:textId="77777777" w:rsidR="007531C3" w:rsidRDefault="007531C3" w:rsidP="007531C3">
      <w:pPr>
        <w:spacing w:before="5"/>
        <w:rPr>
          <w:rFonts w:ascii="DaxlinePro-Bold" w:eastAsia="DaxlinePro-Bold" w:hAnsi="DaxlinePro-Bold" w:cs="DaxlinePro-Bold"/>
          <w:b/>
          <w:bCs/>
          <w:sz w:val="15"/>
          <w:szCs w:val="15"/>
        </w:rPr>
      </w:pPr>
    </w:p>
    <w:p w14:paraId="02F00D72" w14:textId="77777777" w:rsidR="007531C3" w:rsidRDefault="007531C3" w:rsidP="007531C3">
      <w:pPr>
        <w:pStyle w:val="BodyText"/>
        <w:spacing w:line="542" w:lineRule="auto"/>
        <w:ind w:right="1314"/>
      </w:pPr>
      <w:r>
        <w:rPr>
          <w:color w:val="231F20"/>
        </w:rPr>
        <w:t>Photo</w:t>
      </w:r>
      <w:r>
        <w:rPr>
          <w:color w:val="231F20"/>
          <w:spacing w:val="-4"/>
        </w:rPr>
        <w:t xml:space="preserve"> </w:t>
      </w:r>
      <w:r>
        <w:rPr>
          <w:color w:val="231F20"/>
          <w:spacing w:val="-3"/>
        </w:rPr>
        <w:t>(cover</w:t>
      </w:r>
      <w:r>
        <w:rPr>
          <w:color w:val="231F20"/>
          <w:spacing w:val="-4"/>
        </w:rPr>
        <w:t xml:space="preserve"> </w:t>
      </w:r>
      <w:r>
        <w:rPr>
          <w:color w:val="231F20"/>
        </w:rPr>
        <w:t>&amp;</w:t>
      </w:r>
      <w:r>
        <w:rPr>
          <w:color w:val="231F20"/>
          <w:spacing w:val="-4"/>
        </w:rPr>
        <w:t xml:space="preserve"> </w:t>
      </w:r>
      <w:r>
        <w:rPr>
          <w:color w:val="231F20"/>
        </w:rPr>
        <w:t>inside):</w:t>
      </w:r>
      <w:r>
        <w:rPr>
          <w:color w:val="231F20"/>
          <w:spacing w:val="-4"/>
        </w:rPr>
        <w:t xml:space="preserve"> </w:t>
      </w:r>
      <w:r>
        <w:rPr>
          <w:color w:val="231F20"/>
        </w:rPr>
        <w:t>©</w:t>
      </w:r>
      <w:r>
        <w:rPr>
          <w:color w:val="231F20"/>
          <w:spacing w:val="-4"/>
        </w:rPr>
        <w:t xml:space="preserve"> </w:t>
      </w:r>
      <w:r>
        <w:rPr>
          <w:color w:val="231F20"/>
        </w:rPr>
        <w:t>AdobeStock</w:t>
      </w:r>
      <w:r>
        <w:rPr>
          <w:color w:val="231F20"/>
          <w:spacing w:val="-4"/>
        </w:rPr>
        <w:t xml:space="preserve"> </w:t>
      </w:r>
      <w:r>
        <w:rPr>
          <w:color w:val="231F20"/>
        </w:rPr>
        <w:t>(from</w:t>
      </w:r>
      <w:r>
        <w:rPr>
          <w:color w:val="231F20"/>
          <w:spacing w:val="-4"/>
        </w:rPr>
        <w:t xml:space="preserve"> </w:t>
      </w:r>
      <w:r>
        <w:rPr>
          <w:color w:val="231F20"/>
        </w:rPr>
        <w:t>left</w:t>
      </w:r>
      <w:r>
        <w:rPr>
          <w:color w:val="231F20"/>
          <w:spacing w:val="-4"/>
        </w:rPr>
        <w:t xml:space="preserve"> </w:t>
      </w:r>
      <w:r>
        <w:rPr>
          <w:color w:val="231F20"/>
        </w:rPr>
        <w:t>to</w:t>
      </w:r>
      <w:r>
        <w:rPr>
          <w:color w:val="231F20"/>
          <w:spacing w:val="-4"/>
        </w:rPr>
        <w:t xml:space="preserve"> </w:t>
      </w:r>
      <w:r>
        <w:rPr>
          <w:color w:val="231F20"/>
        </w:rPr>
        <w:t>right:</w:t>
      </w:r>
      <w:r>
        <w:rPr>
          <w:color w:val="231F20"/>
          <w:spacing w:val="-4"/>
        </w:rPr>
        <w:t xml:space="preserve"> </w:t>
      </w:r>
      <w:r>
        <w:rPr>
          <w:color w:val="231F20"/>
        </w:rPr>
        <w:t>Dan</w:t>
      </w:r>
      <w:r>
        <w:rPr>
          <w:color w:val="231F20"/>
          <w:spacing w:val="-4"/>
        </w:rPr>
        <w:t xml:space="preserve"> </w:t>
      </w:r>
      <w:r>
        <w:rPr>
          <w:color w:val="231F20"/>
        </w:rPr>
        <w:t>Race;</w:t>
      </w:r>
      <w:r>
        <w:rPr>
          <w:color w:val="231F20"/>
          <w:spacing w:val="-4"/>
        </w:rPr>
        <w:t xml:space="preserve"> </w:t>
      </w:r>
      <w:r>
        <w:rPr>
          <w:color w:val="231F20"/>
        </w:rPr>
        <w:t>Rawpixel.com;</w:t>
      </w:r>
      <w:r>
        <w:rPr>
          <w:color w:val="231F20"/>
          <w:spacing w:val="-4"/>
        </w:rPr>
        <w:t xml:space="preserve"> </w:t>
      </w:r>
      <w:r>
        <w:rPr>
          <w:color w:val="231F20"/>
        </w:rPr>
        <w:t>Dörr&amp;Frommherz) More</w:t>
      </w:r>
      <w:r>
        <w:rPr>
          <w:color w:val="231F20"/>
          <w:spacing w:val="-6"/>
        </w:rPr>
        <w:t xml:space="preserve"> </w:t>
      </w:r>
      <w:r>
        <w:rPr>
          <w:color w:val="231F20"/>
        </w:rPr>
        <w:t>information</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European</w:t>
      </w:r>
      <w:r>
        <w:rPr>
          <w:color w:val="231F20"/>
          <w:spacing w:val="-6"/>
        </w:rPr>
        <w:t xml:space="preserve"> </w:t>
      </w:r>
      <w:r>
        <w:rPr>
          <w:color w:val="231F20"/>
        </w:rPr>
        <w:t>Union</w:t>
      </w:r>
      <w:r>
        <w:rPr>
          <w:color w:val="231F20"/>
          <w:spacing w:val="-6"/>
        </w:rPr>
        <w:t xml:space="preserve"> </w:t>
      </w:r>
      <w:r>
        <w:rPr>
          <w:color w:val="231F20"/>
        </w:rPr>
        <w:t>is</w:t>
      </w:r>
      <w:r>
        <w:rPr>
          <w:color w:val="231F20"/>
          <w:spacing w:val="-6"/>
        </w:rPr>
        <w:t xml:space="preserve"> </w:t>
      </w:r>
      <w:r>
        <w:rPr>
          <w:color w:val="231F20"/>
        </w:rPr>
        <w:t>available</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internet</w:t>
      </w:r>
      <w:r>
        <w:rPr>
          <w:color w:val="231F20"/>
          <w:spacing w:val="-6"/>
        </w:rPr>
        <w:t xml:space="preserve"> </w:t>
      </w:r>
      <w:r>
        <w:rPr>
          <w:color w:val="231F20"/>
        </w:rPr>
        <w:t>(</w:t>
      </w:r>
      <w:hyperlink r:id="rId9">
        <w:r>
          <w:rPr>
            <w:color w:val="00535D"/>
          </w:rPr>
          <w:t>http://europa.eu</w:t>
        </w:r>
      </w:hyperlink>
      <w:r>
        <w:rPr>
          <w:color w:val="231F20"/>
        </w:rPr>
        <w:t>).</w:t>
      </w:r>
    </w:p>
    <w:p w14:paraId="4E4081BD" w14:textId="77777777" w:rsidR="007531C3" w:rsidRDefault="007531C3" w:rsidP="007531C3">
      <w:pPr>
        <w:pStyle w:val="BodyText"/>
        <w:ind w:right="1314"/>
      </w:pPr>
      <w:r>
        <w:rPr>
          <w:color w:val="231F20"/>
        </w:rPr>
        <w:t>Luxembourg: Publications Office of the European Union,</w:t>
      </w:r>
      <w:r>
        <w:rPr>
          <w:color w:val="231F20"/>
          <w:spacing w:val="-21"/>
        </w:rPr>
        <w:t xml:space="preserve"> </w:t>
      </w:r>
      <w:r>
        <w:rPr>
          <w:color w:val="231F20"/>
        </w:rPr>
        <w:t>2017</w:t>
      </w:r>
    </w:p>
    <w:p w14:paraId="1BBE19C3" w14:textId="77777777" w:rsidR="007531C3" w:rsidRDefault="007531C3" w:rsidP="007531C3">
      <w:pPr>
        <w:spacing w:before="1"/>
        <w:rPr>
          <w:rFonts w:ascii="DaxlinePro-Regular" w:eastAsia="DaxlinePro-Regular" w:hAnsi="DaxlinePro-Regular" w:cs="DaxlinePro-Regular"/>
          <w:sz w:val="18"/>
          <w:szCs w:val="18"/>
        </w:rPr>
      </w:pPr>
    </w:p>
    <w:tbl>
      <w:tblPr>
        <w:tblW w:w="0" w:type="auto"/>
        <w:tblInd w:w="118" w:type="dxa"/>
        <w:tblLayout w:type="fixed"/>
        <w:tblCellMar>
          <w:left w:w="0" w:type="dxa"/>
          <w:right w:w="0" w:type="dxa"/>
        </w:tblCellMar>
        <w:tblLook w:val="01E0" w:firstRow="1" w:lastRow="1" w:firstColumn="1" w:lastColumn="1" w:noHBand="0" w:noVBand="0"/>
      </w:tblPr>
      <w:tblGrid>
        <w:gridCol w:w="1161"/>
        <w:gridCol w:w="2415"/>
        <w:gridCol w:w="2022"/>
        <w:gridCol w:w="1847"/>
      </w:tblGrid>
      <w:tr w:rsidR="007531C3" w14:paraId="61D5BD7B" w14:textId="77777777" w:rsidTr="00EF27A2">
        <w:trPr>
          <w:trHeight w:hRule="exact" w:val="300"/>
        </w:trPr>
        <w:tc>
          <w:tcPr>
            <w:tcW w:w="1161" w:type="dxa"/>
            <w:tcBorders>
              <w:top w:val="nil"/>
              <w:left w:val="nil"/>
              <w:bottom w:val="dotted" w:sz="4" w:space="0" w:color="231F20"/>
              <w:right w:val="nil"/>
            </w:tcBorders>
          </w:tcPr>
          <w:p w14:paraId="66EF201C" w14:textId="77777777" w:rsidR="007531C3" w:rsidRDefault="007531C3" w:rsidP="00EF27A2">
            <w:pPr>
              <w:pStyle w:val="TableParagraph"/>
              <w:spacing w:before="57"/>
              <w:ind w:left="55"/>
              <w:rPr>
                <w:rFonts w:ascii="DaxlinePro-Regular" w:eastAsia="DaxlinePro-Regular" w:hAnsi="DaxlinePro-Regular" w:cs="DaxlinePro-Regular"/>
                <w:sz w:val="18"/>
                <w:szCs w:val="18"/>
              </w:rPr>
            </w:pPr>
            <w:r>
              <w:rPr>
                <w:rFonts w:ascii="DaxlinePro-Regular" w:eastAsia="DaxlinePro-Regular" w:hAnsi="DaxlinePro-Regular" w:cs="DaxlinePro-Regular"/>
                <w:color w:val="231F20"/>
                <w:sz w:val="18"/>
                <w:szCs w:val="18"/>
              </w:rPr>
              <w:t>FRA –</w:t>
            </w:r>
            <w:r>
              <w:rPr>
                <w:rFonts w:ascii="DaxlinePro-Regular" w:eastAsia="DaxlinePro-Regular" w:hAnsi="DaxlinePro-Regular" w:cs="DaxlinePro-Regular"/>
                <w:color w:val="231F20"/>
                <w:spacing w:val="1"/>
                <w:sz w:val="18"/>
                <w:szCs w:val="18"/>
              </w:rPr>
              <w:t xml:space="preserve"> </w:t>
            </w:r>
            <w:r>
              <w:rPr>
                <w:rFonts w:ascii="DaxlinePro-Regular" w:eastAsia="DaxlinePro-Regular" w:hAnsi="DaxlinePro-Regular" w:cs="DaxlinePro-Regular"/>
                <w:color w:val="231F20"/>
                <w:sz w:val="18"/>
                <w:szCs w:val="18"/>
              </w:rPr>
              <w:t>print:</w:t>
            </w:r>
          </w:p>
        </w:tc>
        <w:tc>
          <w:tcPr>
            <w:tcW w:w="2415" w:type="dxa"/>
            <w:tcBorders>
              <w:top w:val="nil"/>
              <w:left w:val="nil"/>
              <w:bottom w:val="dotted" w:sz="4" w:space="0" w:color="231F20"/>
              <w:right w:val="nil"/>
            </w:tcBorders>
          </w:tcPr>
          <w:p w14:paraId="7EAFBCF1" w14:textId="77777777" w:rsidR="007531C3" w:rsidRDefault="007531C3" w:rsidP="00EF27A2">
            <w:pPr>
              <w:pStyle w:val="TableParagraph"/>
              <w:spacing w:before="57"/>
              <w:ind w:left="197"/>
              <w:rPr>
                <w:rFonts w:ascii="DaxlinePro-Regular" w:eastAsia="DaxlinePro-Regular" w:hAnsi="DaxlinePro-Regular" w:cs="DaxlinePro-Regular"/>
                <w:sz w:val="18"/>
                <w:szCs w:val="18"/>
              </w:rPr>
            </w:pPr>
            <w:r>
              <w:rPr>
                <w:rFonts w:ascii="DaxlinePro-Regular"/>
                <w:color w:val="231F20"/>
                <w:sz w:val="18"/>
              </w:rPr>
              <w:t>ISBN</w:t>
            </w:r>
            <w:r>
              <w:rPr>
                <w:rFonts w:ascii="DaxlinePro-Regular"/>
                <w:color w:val="231F20"/>
                <w:spacing w:val="-12"/>
                <w:sz w:val="18"/>
              </w:rPr>
              <w:t xml:space="preserve"> </w:t>
            </w:r>
            <w:r>
              <w:rPr>
                <w:rFonts w:ascii="DaxlinePro-Regular"/>
                <w:color w:val="231F20"/>
                <w:sz w:val="18"/>
              </w:rPr>
              <w:t>978-92-9491-768-3</w:t>
            </w:r>
          </w:p>
        </w:tc>
        <w:tc>
          <w:tcPr>
            <w:tcW w:w="2022" w:type="dxa"/>
            <w:tcBorders>
              <w:top w:val="nil"/>
              <w:left w:val="nil"/>
              <w:bottom w:val="dotted" w:sz="4" w:space="0" w:color="231F20"/>
              <w:right w:val="nil"/>
            </w:tcBorders>
          </w:tcPr>
          <w:p w14:paraId="36F06389" w14:textId="77777777" w:rsidR="007531C3" w:rsidRDefault="007531C3" w:rsidP="00EF27A2">
            <w:pPr>
              <w:pStyle w:val="TableParagraph"/>
              <w:spacing w:before="57"/>
              <w:ind w:left="220"/>
              <w:rPr>
                <w:rFonts w:ascii="DaxlinePro-Regular" w:eastAsia="DaxlinePro-Regular" w:hAnsi="DaxlinePro-Regular" w:cs="DaxlinePro-Regular"/>
                <w:sz w:val="18"/>
                <w:szCs w:val="18"/>
              </w:rPr>
            </w:pPr>
            <w:r>
              <w:rPr>
                <w:rFonts w:ascii="DaxlinePro-Regular"/>
                <w:color w:val="231F20"/>
                <w:sz w:val="18"/>
              </w:rPr>
              <w:t>doi:10.2811/322544</w:t>
            </w:r>
          </w:p>
        </w:tc>
        <w:tc>
          <w:tcPr>
            <w:tcW w:w="1847" w:type="dxa"/>
            <w:tcBorders>
              <w:top w:val="nil"/>
              <w:left w:val="nil"/>
              <w:bottom w:val="dotted" w:sz="4" w:space="0" w:color="231F20"/>
              <w:right w:val="nil"/>
            </w:tcBorders>
          </w:tcPr>
          <w:p w14:paraId="3F274D85" w14:textId="77777777" w:rsidR="007531C3" w:rsidRDefault="007531C3" w:rsidP="00EF27A2">
            <w:pPr>
              <w:pStyle w:val="TableParagraph"/>
              <w:spacing w:before="57"/>
              <w:ind w:left="296"/>
              <w:rPr>
                <w:rFonts w:ascii="DaxlinePro-Regular" w:eastAsia="DaxlinePro-Regular" w:hAnsi="DaxlinePro-Regular" w:cs="DaxlinePro-Regular"/>
                <w:sz w:val="18"/>
                <w:szCs w:val="18"/>
              </w:rPr>
            </w:pPr>
            <w:r>
              <w:rPr>
                <w:rFonts w:ascii="DaxlinePro-Regular"/>
                <w:color w:val="231F20"/>
                <w:sz w:val="18"/>
              </w:rPr>
              <w:t>TK-01-17-811-EN-C</w:t>
            </w:r>
          </w:p>
        </w:tc>
      </w:tr>
      <w:tr w:rsidR="007531C3" w14:paraId="75144474" w14:textId="77777777" w:rsidTr="00EF27A2">
        <w:trPr>
          <w:trHeight w:hRule="exact" w:val="353"/>
        </w:trPr>
        <w:tc>
          <w:tcPr>
            <w:tcW w:w="1161" w:type="dxa"/>
            <w:tcBorders>
              <w:top w:val="dotted" w:sz="4" w:space="0" w:color="231F20"/>
              <w:left w:val="nil"/>
              <w:bottom w:val="nil"/>
              <w:right w:val="nil"/>
            </w:tcBorders>
          </w:tcPr>
          <w:p w14:paraId="5FD3138A" w14:textId="53E6CF29" w:rsidR="007531C3" w:rsidRDefault="007531C3" w:rsidP="00EF27A2">
            <w:pPr>
              <w:pStyle w:val="TableParagraph"/>
              <w:spacing w:line="20" w:lineRule="exact"/>
              <w:ind w:left="55"/>
              <w:rPr>
                <w:rFonts w:ascii="DaxlinePro-Regular" w:eastAsia="DaxlinePro-Regular" w:hAnsi="DaxlinePro-Regular" w:cs="DaxlinePro-Regular"/>
                <w:sz w:val="2"/>
                <w:szCs w:val="2"/>
              </w:rPr>
            </w:pPr>
            <w:r>
              <w:rPr>
                <w:rFonts w:ascii="DaxlinePro-Regular" w:eastAsia="DaxlinePro-Regular" w:hAnsi="DaxlinePro-Regular" w:cs="DaxlinePro-Regular"/>
                <w:noProof/>
                <w:sz w:val="2"/>
                <w:szCs w:val="2"/>
                <w:lang w:val="en-GB" w:eastAsia="en-GB"/>
              </w:rPr>
              <mc:AlternateContent>
                <mc:Choice Requires="wpg">
                  <w:drawing>
                    <wp:inline distT="0" distB="0" distL="0" distR="0" wp14:anchorId="0C7166B9" wp14:editId="49977EC3">
                      <wp:extent cx="6350" cy="6350"/>
                      <wp:effectExtent l="5080" t="3810" r="7620" b="8890"/>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g:grpSp>
                              <wpg:cNvPr id="268" name="Group 268"/>
                              <wpg:cNvGrpSpPr>
                                <a:grpSpLocks/>
                              </wpg:cNvGrpSpPr>
                              <wpg:grpSpPr bwMode="auto">
                                <a:xfrm>
                                  <a:off x="5" y="5"/>
                                  <a:ext cx="2" cy="2"/>
                                  <a:chOff x="5" y="5"/>
                                  <a:chExt cx="2" cy="2"/>
                                </a:xfrm>
                              </wpg:grpSpPr>
                              <wps:wsp>
                                <wps:cNvPr id="269" name="Freeform 269"/>
                                <wps:cNvSpPr>
                                  <a:spLocks/>
                                </wps:cNvSpPr>
                                <wps:spPr bwMode="auto">
                                  <a:xfrm>
                                    <a:off x="5" y="5"/>
                                    <a:ext cx="2" cy="2"/>
                                  </a:xfrm>
                                  <a:custGeom>
                                    <a:avLst/>
                                    <a:gdLst/>
                                    <a:ahLst/>
                                    <a:cxnLst>
                                      <a:cxn ang="0">
                                        <a:pos x="0" y="0"/>
                                      </a:cxn>
                                      <a:cxn ang="0">
                                        <a:pos x="0" y="0"/>
                                      </a:cxn>
                                    </a:cxnLst>
                                    <a:rect l="0" t="0" r="r" b="b"/>
                                    <a:pathLst>
                                      <a:path>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2C3357" id="Group 267"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">
                      <v:group id="Group 268" o:spid="_x0000_s1027" style="position:absolute;left:5;top:5;width:2;height:2" coordorigin="5,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69" o:spid="_x0000_s1028" style="position:absolute;left:5;top: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XN8UA&#10;AADcAAAADwAAAGRycy9kb3ducmV2LnhtbESPT4vCMBTE74LfITzBi2iqB1mrUUQQ9rAH/x68PZtn&#10;W21euk22rfvpN8KCx2FmfsMsVq0pRE2Vyy0rGI8iEMSJ1TmnCk7H7fADhPPIGgvLpOBJDlbLbmeB&#10;sbYN76k++FQECLsYFWTel7GULsnIoBvZkjh4N1sZ9EFWqdQVNgFuCjmJoqk0mHNYyLCkTUbJ4/Bj&#10;FET3uhlczvXW8/hXXwf599fugkr1e+16DsJT69/h//anVjCZzuB1Jhw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Ztc3xQAAANwAAAAPAAAAAAAAAAAAAAAAAJgCAABkcnMv&#10;ZG93bnJldi54bWxQSwUGAAAAAAQABAD1AAAAigMAAAAA&#10;" path="m,l,e" filled="f" strokecolor="#231f20" strokeweight=".5pt">
                          <v:path arrowok="t" o:connecttype="custom" o:connectlocs="0,0;0,0" o:connectangles="0,0"/>
                        </v:shape>
                      </v:group>
                      <w10:anchorlock/>
                    </v:group>
                  </w:pict>
                </mc:Fallback>
              </mc:AlternateContent>
            </w:r>
          </w:p>
          <w:p w14:paraId="3FA178A3" w14:textId="77777777" w:rsidR="007531C3" w:rsidRDefault="007531C3" w:rsidP="00EF27A2">
            <w:pPr>
              <w:pStyle w:val="TableParagraph"/>
              <w:spacing w:before="15"/>
              <w:ind w:left="55"/>
              <w:rPr>
                <w:rFonts w:ascii="DaxlinePro-Regular" w:eastAsia="DaxlinePro-Regular" w:hAnsi="DaxlinePro-Regular" w:cs="DaxlinePro-Regular"/>
                <w:sz w:val="18"/>
                <w:szCs w:val="18"/>
              </w:rPr>
            </w:pPr>
            <w:r>
              <w:rPr>
                <w:rFonts w:ascii="DaxlinePro-Regular" w:eastAsia="DaxlinePro-Regular" w:hAnsi="DaxlinePro-Regular" w:cs="DaxlinePro-Regular"/>
                <w:color w:val="231F20"/>
                <w:sz w:val="18"/>
                <w:szCs w:val="18"/>
              </w:rPr>
              <w:t>FRA –</w:t>
            </w:r>
            <w:r>
              <w:rPr>
                <w:rFonts w:ascii="DaxlinePro-Regular" w:eastAsia="DaxlinePro-Regular" w:hAnsi="DaxlinePro-Regular" w:cs="DaxlinePro-Regular"/>
                <w:color w:val="231F20"/>
                <w:spacing w:val="-3"/>
                <w:sz w:val="18"/>
                <w:szCs w:val="18"/>
              </w:rPr>
              <w:t xml:space="preserve"> </w:t>
            </w:r>
            <w:r>
              <w:rPr>
                <w:rFonts w:ascii="DaxlinePro-Regular" w:eastAsia="DaxlinePro-Regular" w:hAnsi="DaxlinePro-Regular" w:cs="DaxlinePro-Regular"/>
                <w:color w:val="231F20"/>
                <w:sz w:val="18"/>
                <w:szCs w:val="18"/>
              </w:rPr>
              <w:t>web:</w:t>
            </w:r>
          </w:p>
        </w:tc>
        <w:tc>
          <w:tcPr>
            <w:tcW w:w="2415" w:type="dxa"/>
            <w:tcBorders>
              <w:top w:val="dotted" w:sz="4" w:space="0" w:color="231F20"/>
              <w:left w:val="nil"/>
              <w:bottom w:val="nil"/>
              <w:right w:val="nil"/>
            </w:tcBorders>
          </w:tcPr>
          <w:p w14:paraId="309DE772" w14:textId="77777777" w:rsidR="007531C3" w:rsidRDefault="007531C3" w:rsidP="00EF27A2">
            <w:pPr>
              <w:pStyle w:val="TableParagraph"/>
              <w:spacing w:before="25"/>
              <w:ind w:left="197"/>
              <w:rPr>
                <w:rFonts w:ascii="DaxlinePro-Regular" w:eastAsia="DaxlinePro-Regular" w:hAnsi="DaxlinePro-Regular" w:cs="DaxlinePro-Regular"/>
                <w:sz w:val="18"/>
                <w:szCs w:val="18"/>
              </w:rPr>
            </w:pPr>
            <w:r>
              <w:rPr>
                <w:rFonts w:ascii="DaxlinePro-Regular"/>
                <w:color w:val="231F20"/>
                <w:sz w:val="18"/>
              </w:rPr>
              <w:t>ISBN</w:t>
            </w:r>
            <w:r>
              <w:rPr>
                <w:rFonts w:ascii="DaxlinePro-Regular"/>
                <w:color w:val="231F20"/>
                <w:spacing w:val="-16"/>
                <w:sz w:val="18"/>
              </w:rPr>
              <w:t xml:space="preserve"> </w:t>
            </w:r>
            <w:r>
              <w:rPr>
                <w:rFonts w:ascii="DaxlinePro-Regular"/>
                <w:color w:val="231F20"/>
                <w:sz w:val="18"/>
              </w:rPr>
              <w:t>978-92-9491-767-6</w:t>
            </w:r>
          </w:p>
        </w:tc>
        <w:tc>
          <w:tcPr>
            <w:tcW w:w="2022" w:type="dxa"/>
            <w:tcBorders>
              <w:top w:val="dotted" w:sz="4" w:space="0" w:color="231F20"/>
              <w:left w:val="nil"/>
              <w:bottom w:val="nil"/>
              <w:right w:val="nil"/>
            </w:tcBorders>
          </w:tcPr>
          <w:p w14:paraId="34C4DF46" w14:textId="77777777" w:rsidR="007531C3" w:rsidRDefault="007531C3" w:rsidP="00EF27A2">
            <w:pPr>
              <w:pStyle w:val="TableParagraph"/>
              <w:spacing w:before="25"/>
              <w:ind w:left="220"/>
              <w:rPr>
                <w:rFonts w:ascii="DaxlinePro-Regular" w:eastAsia="DaxlinePro-Regular" w:hAnsi="DaxlinePro-Regular" w:cs="DaxlinePro-Regular"/>
                <w:sz w:val="18"/>
                <w:szCs w:val="18"/>
              </w:rPr>
            </w:pPr>
            <w:r>
              <w:rPr>
                <w:rFonts w:ascii="DaxlinePro-Regular"/>
                <w:color w:val="231F20"/>
                <w:sz w:val="18"/>
              </w:rPr>
              <w:t>doi:10.2811/64917</w:t>
            </w:r>
          </w:p>
        </w:tc>
        <w:tc>
          <w:tcPr>
            <w:tcW w:w="1847" w:type="dxa"/>
            <w:tcBorders>
              <w:top w:val="dotted" w:sz="4" w:space="0" w:color="231F20"/>
              <w:left w:val="nil"/>
              <w:bottom w:val="nil"/>
              <w:right w:val="nil"/>
            </w:tcBorders>
          </w:tcPr>
          <w:p w14:paraId="7FB6589E" w14:textId="5D5EA342" w:rsidR="007531C3" w:rsidRDefault="007531C3" w:rsidP="00EF27A2">
            <w:pPr>
              <w:pStyle w:val="TableParagraph"/>
              <w:spacing w:line="20" w:lineRule="exact"/>
              <w:ind w:left="1758"/>
              <w:rPr>
                <w:rFonts w:ascii="DaxlinePro-Regular" w:eastAsia="DaxlinePro-Regular" w:hAnsi="DaxlinePro-Regular" w:cs="DaxlinePro-Regular"/>
                <w:sz w:val="2"/>
                <w:szCs w:val="2"/>
              </w:rPr>
            </w:pPr>
            <w:r>
              <w:rPr>
                <w:rFonts w:ascii="DaxlinePro-Regular" w:eastAsia="DaxlinePro-Regular" w:hAnsi="DaxlinePro-Regular" w:cs="DaxlinePro-Regular"/>
                <w:noProof/>
                <w:sz w:val="2"/>
                <w:szCs w:val="2"/>
                <w:lang w:val="en-GB" w:eastAsia="en-GB"/>
              </w:rPr>
              <mc:AlternateContent>
                <mc:Choice Requires="wpg">
                  <w:drawing>
                    <wp:inline distT="0" distB="0" distL="0" distR="0" wp14:anchorId="757E829F" wp14:editId="076589A8">
                      <wp:extent cx="6350" cy="6350"/>
                      <wp:effectExtent l="2540" t="3810" r="10160" b="8890"/>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g:grpSp>
                              <wpg:cNvPr id="265" name="Group 265"/>
                              <wpg:cNvGrpSpPr>
                                <a:grpSpLocks/>
                              </wpg:cNvGrpSpPr>
                              <wpg:grpSpPr bwMode="auto">
                                <a:xfrm>
                                  <a:off x="5" y="5"/>
                                  <a:ext cx="2" cy="2"/>
                                  <a:chOff x="5" y="5"/>
                                  <a:chExt cx="2" cy="2"/>
                                </a:xfrm>
                              </wpg:grpSpPr>
                              <wps:wsp>
                                <wps:cNvPr id="266" name="Freeform 266"/>
                                <wps:cNvSpPr>
                                  <a:spLocks/>
                                </wps:cNvSpPr>
                                <wps:spPr bwMode="auto">
                                  <a:xfrm>
                                    <a:off x="5" y="5"/>
                                    <a:ext cx="2" cy="2"/>
                                  </a:xfrm>
                                  <a:custGeom>
                                    <a:avLst/>
                                    <a:gdLst/>
                                    <a:ahLst/>
                                    <a:cxnLst>
                                      <a:cxn ang="0">
                                        <a:pos x="0" y="0"/>
                                      </a:cxn>
                                      <a:cxn ang="0">
                                        <a:pos x="0" y="0"/>
                                      </a:cxn>
                                    </a:cxnLst>
                                    <a:rect l="0" t="0" r="r" b="b"/>
                                    <a:pathLst>
                                      <a:path>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D66932" id="Group 264"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">
                      <v:group id="Group 265" o:spid="_x0000_s1027" style="position:absolute;left:5;top:5;width:2;height:2" coordorigin="5,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66" o:spid="_x0000_s1028" style="position:absolute;left:5;top: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DRcYA&#10;AADcAAAADwAAAGRycy9kb3ducmV2LnhtbESPQWvCQBSE74L/YXlCL1I3ySFI6iqlIHjw0Ko9eHvN&#10;viZps2/j7pqk/fVdQehxmJlvmNVmNK3oyfnGsoJ0kYAgLq1uuFJwOm4flyB8QNbYWiYFP+Rhs55O&#10;VlhoO/Ab9YdQiQhhX6CCOoSukNKXNRn0C9sRR+/TOoMhSldJ7XCIcNPKLElyabDhuFBjRy81ld+H&#10;q1GQfPXD/PzebwOnv/pj3lz2r2dU6mE2Pj+BCDSG//C9vdMKsjyH2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lDRcYAAADcAAAADwAAAAAAAAAAAAAAAACYAgAAZHJz&#10;L2Rvd25yZXYueG1sUEsFBgAAAAAEAAQA9QAAAIsDAAAAAA==&#10;" path="m,l,e" filled="f" strokecolor="#231f20" strokeweight=".5pt">
                          <v:path arrowok="t" o:connecttype="custom" o:connectlocs="0,0;0,0" o:connectangles="0,0"/>
                        </v:shape>
                      </v:group>
                      <w10:anchorlock/>
                    </v:group>
                  </w:pict>
                </mc:Fallback>
              </mc:AlternateContent>
            </w:r>
          </w:p>
          <w:p w14:paraId="11729D96" w14:textId="77777777" w:rsidR="007531C3" w:rsidRDefault="007531C3" w:rsidP="00EF27A2">
            <w:pPr>
              <w:pStyle w:val="TableParagraph"/>
              <w:spacing w:before="15"/>
              <w:ind w:left="296"/>
              <w:rPr>
                <w:rFonts w:ascii="DaxlinePro-Regular" w:eastAsia="DaxlinePro-Regular" w:hAnsi="DaxlinePro-Regular" w:cs="DaxlinePro-Regular"/>
                <w:sz w:val="18"/>
                <w:szCs w:val="18"/>
              </w:rPr>
            </w:pPr>
            <w:r>
              <w:rPr>
                <w:rFonts w:ascii="DaxlinePro-Regular"/>
                <w:color w:val="231F20"/>
                <w:sz w:val="18"/>
              </w:rPr>
              <w:t>TK-01-17-811-EN-N</w:t>
            </w:r>
          </w:p>
        </w:tc>
      </w:tr>
    </w:tbl>
    <w:p w14:paraId="2593027D" w14:textId="77777777" w:rsidR="007531C3" w:rsidRDefault="007531C3" w:rsidP="007531C3">
      <w:pPr>
        <w:rPr>
          <w:rFonts w:ascii="DaxlinePro-Regular" w:eastAsia="DaxlinePro-Regular" w:hAnsi="DaxlinePro-Regular" w:cs="DaxlinePro-Regular"/>
          <w:sz w:val="10"/>
          <w:szCs w:val="10"/>
        </w:rPr>
      </w:pPr>
    </w:p>
    <w:p w14:paraId="13D34211" w14:textId="77777777" w:rsidR="007531C3" w:rsidRDefault="007531C3" w:rsidP="007531C3">
      <w:pPr>
        <w:pStyle w:val="BodyText"/>
        <w:spacing w:before="57"/>
        <w:ind w:right="1314"/>
      </w:pPr>
      <w:r>
        <w:rPr>
          <w:color w:val="231F20"/>
        </w:rPr>
        <w:t>© European Union Agency for Fundamental Rights,</w:t>
      </w:r>
      <w:r>
        <w:rPr>
          <w:color w:val="231F20"/>
          <w:spacing w:val="-16"/>
        </w:rPr>
        <w:t xml:space="preserve"> </w:t>
      </w:r>
      <w:r>
        <w:rPr>
          <w:color w:val="231F20"/>
        </w:rPr>
        <w:t>2017</w:t>
      </w:r>
    </w:p>
    <w:p w14:paraId="7897395D" w14:textId="77777777" w:rsidR="007531C3" w:rsidRDefault="007531C3" w:rsidP="007531C3">
      <w:pPr>
        <w:pStyle w:val="BodyText"/>
        <w:spacing w:line="216" w:lineRule="exact"/>
        <w:ind w:right="170"/>
      </w:pPr>
      <w:r>
        <w:rPr>
          <w:color w:val="231F20"/>
        </w:rPr>
        <w:t>Reproduction</w:t>
      </w:r>
      <w:r>
        <w:rPr>
          <w:color w:val="231F20"/>
          <w:spacing w:val="-4"/>
        </w:rPr>
        <w:t xml:space="preserve"> </w:t>
      </w:r>
      <w:r>
        <w:rPr>
          <w:color w:val="231F20"/>
        </w:rPr>
        <w:t>is</w:t>
      </w:r>
      <w:r>
        <w:rPr>
          <w:color w:val="231F20"/>
          <w:spacing w:val="-4"/>
        </w:rPr>
        <w:t xml:space="preserve"> </w:t>
      </w:r>
      <w:r>
        <w:rPr>
          <w:color w:val="231F20"/>
        </w:rPr>
        <w:t>authorised</w:t>
      </w:r>
      <w:r>
        <w:rPr>
          <w:color w:val="231F20"/>
          <w:spacing w:val="-4"/>
        </w:rPr>
        <w:t xml:space="preserve"> </w:t>
      </w:r>
      <w:r>
        <w:rPr>
          <w:color w:val="231F20"/>
        </w:rPr>
        <w:t>provided</w:t>
      </w:r>
      <w:r>
        <w:rPr>
          <w:color w:val="231F20"/>
          <w:spacing w:val="-4"/>
        </w:rPr>
        <w:t xml:space="preserve"> </w:t>
      </w:r>
      <w:r>
        <w:rPr>
          <w:color w:val="231F20"/>
        </w:rPr>
        <w:t>the</w:t>
      </w:r>
      <w:r>
        <w:rPr>
          <w:color w:val="231F20"/>
          <w:spacing w:val="-4"/>
        </w:rPr>
        <w:t xml:space="preserve"> </w:t>
      </w:r>
      <w:r>
        <w:rPr>
          <w:color w:val="231F20"/>
        </w:rPr>
        <w:t>source</w:t>
      </w:r>
      <w:r>
        <w:rPr>
          <w:color w:val="231F20"/>
          <w:spacing w:val="-4"/>
        </w:rPr>
        <w:t xml:space="preserve"> </w:t>
      </w:r>
      <w:r>
        <w:rPr>
          <w:color w:val="231F20"/>
        </w:rPr>
        <w:t>is</w:t>
      </w:r>
      <w:r>
        <w:rPr>
          <w:color w:val="231F20"/>
          <w:spacing w:val="-4"/>
        </w:rPr>
        <w:t xml:space="preserve"> </w:t>
      </w:r>
      <w:r>
        <w:rPr>
          <w:color w:val="231F20"/>
        </w:rPr>
        <w:t>acknowledged.</w:t>
      </w:r>
      <w:r>
        <w:rPr>
          <w:color w:val="231F20"/>
          <w:spacing w:val="-4"/>
        </w:rPr>
        <w:t xml:space="preserve"> </w:t>
      </w:r>
      <w:r>
        <w:rPr>
          <w:color w:val="231F20"/>
        </w:rPr>
        <w:t>For</w:t>
      </w:r>
      <w:r>
        <w:rPr>
          <w:color w:val="231F20"/>
          <w:spacing w:val="-4"/>
        </w:rPr>
        <w:t xml:space="preserve"> </w:t>
      </w:r>
      <w:r>
        <w:rPr>
          <w:color w:val="231F20"/>
        </w:rPr>
        <w:t>any</w:t>
      </w:r>
      <w:r>
        <w:rPr>
          <w:color w:val="231F20"/>
          <w:spacing w:val="-4"/>
        </w:rPr>
        <w:t xml:space="preserve"> </w:t>
      </w:r>
      <w:r>
        <w:rPr>
          <w:color w:val="231F20"/>
        </w:rPr>
        <w:t>use</w:t>
      </w:r>
      <w:r>
        <w:rPr>
          <w:color w:val="231F20"/>
          <w:spacing w:val="-4"/>
        </w:rPr>
        <w:t xml:space="preserve"> </w:t>
      </w:r>
      <w:r>
        <w:rPr>
          <w:color w:val="231F20"/>
        </w:rPr>
        <w:t>or</w:t>
      </w:r>
      <w:r>
        <w:rPr>
          <w:color w:val="231F20"/>
          <w:spacing w:val="-4"/>
        </w:rPr>
        <w:t xml:space="preserve"> </w:t>
      </w:r>
      <w:r>
        <w:rPr>
          <w:color w:val="231F20"/>
        </w:rPr>
        <w:t>reproduction</w:t>
      </w:r>
      <w:r>
        <w:rPr>
          <w:color w:val="231F20"/>
          <w:spacing w:val="-4"/>
        </w:rPr>
        <w:t xml:space="preserve"> </w:t>
      </w:r>
      <w:r>
        <w:rPr>
          <w:color w:val="231F20"/>
        </w:rPr>
        <w:t>of</w:t>
      </w:r>
      <w:r>
        <w:rPr>
          <w:color w:val="231F20"/>
          <w:spacing w:val="-4"/>
        </w:rPr>
        <w:t xml:space="preserve"> </w:t>
      </w:r>
      <w:r>
        <w:rPr>
          <w:color w:val="231F20"/>
        </w:rPr>
        <w:t>photos</w:t>
      </w:r>
      <w:r>
        <w:rPr>
          <w:color w:val="231F20"/>
          <w:spacing w:val="-4"/>
        </w:rPr>
        <w:t xml:space="preserve"> </w:t>
      </w:r>
      <w:r>
        <w:rPr>
          <w:color w:val="231F20"/>
        </w:rPr>
        <w:t>contained herein, permission must be sought directly from the copyright</w:t>
      </w:r>
      <w:r>
        <w:rPr>
          <w:color w:val="231F20"/>
          <w:spacing w:val="-20"/>
        </w:rPr>
        <w:t xml:space="preserve"> </w:t>
      </w:r>
      <w:r>
        <w:rPr>
          <w:color w:val="231F20"/>
          <w:spacing w:val="-3"/>
        </w:rPr>
        <w:t>holder.</w:t>
      </w:r>
    </w:p>
    <w:p w14:paraId="5C80A429" w14:textId="77777777" w:rsidR="007531C3" w:rsidRDefault="007531C3" w:rsidP="007531C3">
      <w:pPr>
        <w:spacing w:before="8"/>
        <w:rPr>
          <w:rFonts w:ascii="DaxlinePro-Regular" w:eastAsia="DaxlinePro-Regular" w:hAnsi="DaxlinePro-Regular" w:cs="DaxlinePro-Regular"/>
        </w:rPr>
      </w:pPr>
    </w:p>
    <w:p w14:paraId="59D5AA4F" w14:textId="77777777" w:rsidR="007531C3" w:rsidRDefault="007531C3" w:rsidP="007531C3">
      <w:pPr>
        <w:pStyle w:val="BodyText"/>
        <w:ind w:right="1314"/>
      </w:pPr>
      <w:r>
        <w:rPr>
          <w:color w:val="231F20"/>
        </w:rPr>
        <w:t>Printed on elemental chlorine-free bleached paper</w:t>
      </w:r>
      <w:r>
        <w:rPr>
          <w:color w:val="231F20"/>
          <w:spacing w:val="29"/>
        </w:rPr>
        <w:t xml:space="preserve"> </w:t>
      </w:r>
      <w:r>
        <w:rPr>
          <w:color w:val="231F20"/>
        </w:rPr>
        <w:t>(ECF)</w:t>
      </w:r>
    </w:p>
    <w:p w14:paraId="3645DB27" w14:textId="094D909B" w:rsidR="007531C3" w:rsidRPr="00B11F42" w:rsidRDefault="007531C3" w:rsidP="00B11F42">
      <w:pPr>
        <w:spacing w:after="120"/>
        <w:rPr>
          <w:b/>
          <w:sz w:val="24"/>
        </w:rPr>
      </w:pPr>
    </w:p>
    <w:sdt>
      <w:sdtPr>
        <w:rPr>
          <w:rFonts w:ascii="Times New Roman" w:eastAsiaTheme="minorHAnsi" w:hAnsi="Times New Roman" w:cs="Times New Roman"/>
          <w:b w:val="0"/>
          <w:color w:val="auto"/>
          <w:sz w:val="22"/>
          <w:szCs w:val="22"/>
          <w:lang w:val="en-GB"/>
        </w:rPr>
        <w:id w:val="955454325"/>
        <w:docPartObj>
          <w:docPartGallery w:val="Table of Contents"/>
          <w:docPartUnique/>
        </w:docPartObj>
      </w:sdtPr>
      <w:sdtEndPr>
        <w:rPr>
          <w:rFonts w:ascii="Verdana" w:hAnsi="Verdana"/>
          <w:bCs/>
          <w:noProof/>
        </w:rPr>
      </w:sdtEndPr>
      <w:sdtContent>
        <w:p w14:paraId="36936524" w14:textId="77777777" w:rsidR="00DA0D48" w:rsidRDefault="00DA0D48" w:rsidP="00F61D76">
          <w:pPr>
            <w:pStyle w:val="TOCHeading"/>
            <w:rPr>
              <w:rFonts w:ascii="Times New Roman" w:eastAsiaTheme="minorHAnsi" w:hAnsi="Times New Roman" w:cs="Times New Roman"/>
              <w:b w:val="0"/>
              <w:color w:val="auto"/>
              <w:sz w:val="22"/>
              <w:szCs w:val="22"/>
              <w:lang w:val="en-GB"/>
            </w:rPr>
            <w:sectPr w:rsidR="00DA0D48" w:rsidSect="00156611">
              <w:footerReference w:type="default" r:id="rId10"/>
              <w:endnotePr>
                <w:numFmt w:val="decimal"/>
              </w:endnotePr>
              <w:pgSz w:w="11906" w:h="16838"/>
              <w:pgMar w:top="1440" w:right="1440" w:bottom="1440" w:left="1440" w:header="426" w:footer="708" w:gutter="0"/>
              <w:cols w:space="708"/>
              <w:docGrid w:linePitch="360"/>
            </w:sectPr>
          </w:pPr>
        </w:p>
        <w:p w14:paraId="5BC567BC" w14:textId="77777777" w:rsidR="00AA144D" w:rsidRPr="004157EF" w:rsidRDefault="00922555" w:rsidP="009A3DCA">
          <w:pPr>
            <w:pStyle w:val="TOCHeading"/>
            <w:spacing w:line="360" w:lineRule="auto"/>
            <w:rPr>
              <w:szCs w:val="30"/>
            </w:rPr>
          </w:pPr>
          <w:r w:rsidRPr="004157EF">
            <w:rPr>
              <w:szCs w:val="30"/>
            </w:rPr>
            <w:lastRenderedPageBreak/>
            <w:t>Contents</w:t>
          </w:r>
          <w:r w:rsidR="00DB1CE9" w:rsidRPr="004157EF">
            <w:rPr>
              <w:szCs w:val="30"/>
            </w:rPr>
            <w:tab/>
          </w:r>
        </w:p>
        <w:p w14:paraId="0328828E" w14:textId="77777777" w:rsidR="004157EF" w:rsidRPr="004157EF" w:rsidRDefault="00922555">
          <w:pPr>
            <w:pStyle w:val="TOC1"/>
            <w:rPr>
              <w:rFonts w:eastAsiaTheme="minorEastAsia" w:cstheme="minorBidi"/>
              <w:lang w:eastAsia="en-GB"/>
            </w:rPr>
          </w:pPr>
          <w:r w:rsidRPr="004157EF">
            <w:fldChar w:fldCharType="begin"/>
          </w:r>
          <w:r w:rsidRPr="004157EF">
            <w:instrText xml:space="preserve"> TOC \o "1-3" \h \z \u </w:instrText>
          </w:r>
          <w:r w:rsidRPr="004157EF">
            <w:fldChar w:fldCharType="separate"/>
          </w:r>
          <w:hyperlink w:anchor="_Toc500189293" w:history="1">
            <w:r w:rsidR="004157EF" w:rsidRPr="004157EF">
              <w:rPr>
                <w:rStyle w:val="Hyperlink"/>
                <w:b/>
              </w:rPr>
              <w:t>Introduction</w:t>
            </w:r>
            <w:r w:rsidR="004157EF" w:rsidRPr="004157EF">
              <w:rPr>
                <w:webHidden/>
              </w:rPr>
              <w:tab/>
            </w:r>
            <w:r w:rsidR="004157EF" w:rsidRPr="004157EF">
              <w:rPr>
                <w:webHidden/>
              </w:rPr>
              <w:fldChar w:fldCharType="begin"/>
            </w:r>
            <w:r w:rsidR="004157EF" w:rsidRPr="004157EF">
              <w:rPr>
                <w:webHidden/>
              </w:rPr>
              <w:instrText xml:space="preserve"> PAGEREF _Toc500189293 \h </w:instrText>
            </w:r>
            <w:r w:rsidR="004157EF" w:rsidRPr="004157EF">
              <w:rPr>
                <w:webHidden/>
              </w:rPr>
            </w:r>
            <w:r w:rsidR="004157EF" w:rsidRPr="004157EF">
              <w:rPr>
                <w:webHidden/>
              </w:rPr>
              <w:fldChar w:fldCharType="separate"/>
            </w:r>
            <w:r w:rsidR="00F709B2">
              <w:rPr>
                <w:webHidden/>
              </w:rPr>
              <w:t>4</w:t>
            </w:r>
            <w:r w:rsidR="004157EF" w:rsidRPr="004157EF">
              <w:rPr>
                <w:webHidden/>
              </w:rPr>
              <w:fldChar w:fldCharType="end"/>
            </w:r>
          </w:hyperlink>
        </w:p>
        <w:p w14:paraId="44254193" w14:textId="77777777" w:rsidR="004157EF" w:rsidRPr="004157EF" w:rsidRDefault="002746D5">
          <w:pPr>
            <w:pStyle w:val="TOC1"/>
            <w:rPr>
              <w:rFonts w:eastAsiaTheme="minorEastAsia" w:cstheme="minorBidi"/>
              <w:lang w:eastAsia="en-GB"/>
            </w:rPr>
          </w:pPr>
          <w:hyperlink w:anchor="_Toc500189294" w:history="1">
            <w:r w:rsidR="004157EF" w:rsidRPr="004157EF">
              <w:rPr>
                <w:rStyle w:val="Hyperlink"/>
                <w:b/>
              </w:rPr>
              <w:t>Key findings and FRA opinions</w:t>
            </w:r>
            <w:r w:rsidR="004157EF" w:rsidRPr="004157EF">
              <w:rPr>
                <w:webHidden/>
              </w:rPr>
              <w:tab/>
            </w:r>
            <w:r w:rsidR="004157EF" w:rsidRPr="004157EF">
              <w:rPr>
                <w:webHidden/>
              </w:rPr>
              <w:fldChar w:fldCharType="begin"/>
            </w:r>
            <w:r w:rsidR="004157EF" w:rsidRPr="004157EF">
              <w:rPr>
                <w:webHidden/>
              </w:rPr>
              <w:instrText xml:space="preserve"> PAGEREF _Toc500189294 \h </w:instrText>
            </w:r>
            <w:r w:rsidR="004157EF" w:rsidRPr="004157EF">
              <w:rPr>
                <w:webHidden/>
              </w:rPr>
            </w:r>
            <w:r w:rsidR="004157EF" w:rsidRPr="004157EF">
              <w:rPr>
                <w:webHidden/>
              </w:rPr>
              <w:fldChar w:fldCharType="separate"/>
            </w:r>
            <w:r w:rsidR="00F709B2">
              <w:rPr>
                <w:webHidden/>
              </w:rPr>
              <w:t>6</w:t>
            </w:r>
            <w:r w:rsidR="004157EF" w:rsidRPr="004157EF">
              <w:rPr>
                <w:webHidden/>
              </w:rPr>
              <w:fldChar w:fldCharType="end"/>
            </w:r>
          </w:hyperlink>
        </w:p>
        <w:p w14:paraId="645182E3" w14:textId="77777777" w:rsidR="004157EF" w:rsidRPr="004157EF" w:rsidRDefault="002746D5">
          <w:pPr>
            <w:pStyle w:val="TOC1"/>
            <w:rPr>
              <w:rFonts w:eastAsiaTheme="minorEastAsia" w:cstheme="minorBidi"/>
              <w:lang w:eastAsia="en-GB"/>
            </w:rPr>
          </w:pPr>
          <w:hyperlink w:anchor="_Toc500189295" w:history="1">
            <w:r w:rsidR="004157EF" w:rsidRPr="004157EF">
              <w:rPr>
                <w:rStyle w:val="Hyperlink"/>
                <w:b/>
              </w:rPr>
              <w:t>1</w:t>
            </w:r>
            <w:r w:rsidR="004157EF" w:rsidRPr="004157EF">
              <w:rPr>
                <w:rFonts w:eastAsiaTheme="minorEastAsia" w:cstheme="minorBidi"/>
                <w:b/>
                <w:lang w:eastAsia="en-GB"/>
              </w:rPr>
              <w:tab/>
            </w:r>
            <w:r w:rsidR="004157EF" w:rsidRPr="004157EF">
              <w:rPr>
                <w:rStyle w:val="Hyperlink"/>
                <w:b/>
              </w:rPr>
              <w:t>Commitment to deinstitutionalisation</w:t>
            </w:r>
            <w:r w:rsidR="004157EF" w:rsidRPr="004157EF">
              <w:rPr>
                <w:webHidden/>
              </w:rPr>
              <w:tab/>
            </w:r>
            <w:r w:rsidR="004157EF" w:rsidRPr="004157EF">
              <w:rPr>
                <w:webHidden/>
              </w:rPr>
              <w:fldChar w:fldCharType="begin"/>
            </w:r>
            <w:r w:rsidR="004157EF" w:rsidRPr="004157EF">
              <w:rPr>
                <w:webHidden/>
              </w:rPr>
              <w:instrText xml:space="preserve"> PAGEREF _Toc500189295 \h </w:instrText>
            </w:r>
            <w:r w:rsidR="004157EF" w:rsidRPr="004157EF">
              <w:rPr>
                <w:webHidden/>
              </w:rPr>
            </w:r>
            <w:r w:rsidR="004157EF" w:rsidRPr="004157EF">
              <w:rPr>
                <w:webHidden/>
              </w:rPr>
              <w:fldChar w:fldCharType="separate"/>
            </w:r>
            <w:r w:rsidR="00F709B2">
              <w:rPr>
                <w:webHidden/>
              </w:rPr>
              <w:t>9</w:t>
            </w:r>
            <w:r w:rsidR="004157EF" w:rsidRPr="004157EF">
              <w:rPr>
                <w:webHidden/>
              </w:rPr>
              <w:fldChar w:fldCharType="end"/>
            </w:r>
          </w:hyperlink>
        </w:p>
        <w:p w14:paraId="2617312F" w14:textId="77777777" w:rsidR="004157EF" w:rsidRPr="004157EF" w:rsidRDefault="002746D5">
          <w:pPr>
            <w:pStyle w:val="TOC2"/>
            <w:tabs>
              <w:tab w:val="right" w:leader="dot" w:pos="9016"/>
            </w:tabs>
            <w:rPr>
              <w:rFonts w:ascii="Verdana" w:eastAsiaTheme="minorEastAsia" w:hAnsi="Verdana" w:cstheme="minorBidi"/>
              <w:noProof/>
              <w:lang w:eastAsia="en-GB"/>
            </w:rPr>
          </w:pPr>
          <w:hyperlink w:anchor="_Toc500189296" w:history="1">
            <w:r w:rsidR="004157EF" w:rsidRPr="004157EF">
              <w:rPr>
                <w:rStyle w:val="Hyperlink"/>
                <w:rFonts w:ascii="Verdana" w:hAnsi="Verdana"/>
                <w:noProof/>
              </w:rPr>
              <w:t>Convention on the Rights of Persons with Disabilities: setting standards for action</w:t>
            </w:r>
            <w:r w:rsidR="004157EF" w:rsidRPr="004157EF">
              <w:rPr>
                <w:rFonts w:ascii="Verdana" w:hAnsi="Verdana"/>
                <w:noProof/>
                <w:webHidden/>
              </w:rPr>
              <w:tab/>
            </w:r>
            <w:r w:rsidR="004157EF" w:rsidRPr="004157EF">
              <w:rPr>
                <w:rFonts w:ascii="Verdana" w:hAnsi="Verdana"/>
                <w:noProof/>
                <w:webHidden/>
              </w:rPr>
              <w:fldChar w:fldCharType="begin"/>
            </w:r>
            <w:r w:rsidR="004157EF" w:rsidRPr="004157EF">
              <w:rPr>
                <w:rFonts w:ascii="Verdana" w:hAnsi="Verdana"/>
                <w:noProof/>
                <w:webHidden/>
              </w:rPr>
              <w:instrText xml:space="preserve"> PAGEREF _Toc500189296 \h </w:instrText>
            </w:r>
            <w:r w:rsidR="004157EF" w:rsidRPr="004157EF">
              <w:rPr>
                <w:rFonts w:ascii="Verdana" w:hAnsi="Verdana"/>
                <w:noProof/>
                <w:webHidden/>
              </w:rPr>
            </w:r>
            <w:r w:rsidR="004157EF" w:rsidRPr="004157EF">
              <w:rPr>
                <w:rFonts w:ascii="Verdana" w:hAnsi="Verdana"/>
                <w:noProof/>
                <w:webHidden/>
              </w:rPr>
              <w:fldChar w:fldCharType="separate"/>
            </w:r>
            <w:r w:rsidR="00F709B2">
              <w:rPr>
                <w:rFonts w:ascii="Verdana" w:hAnsi="Verdana"/>
                <w:noProof/>
                <w:webHidden/>
              </w:rPr>
              <w:t>9</w:t>
            </w:r>
            <w:r w:rsidR="004157EF" w:rsidRPr="004157EF">
              <w:rPr>
                <w:rFonts w:ascii="Verdana" w:hAnsi="Verdana"/>
                <w:noProof/>
                <w:webHidden/>
              </w:rPr>
              <w:fldChar w:fldCharType="end"/>
            </w:r>
          </w:hyperlink>
        </w:p>
        <w:p w14:paraId="62C68F12" w14:textId="77777777" w:rsidR="004157EF" w:rsidRPr="004157EF" w:rsidRDefault="002746D5">
          <w:pPr>
            <w:pStyle w:val="TOC2"/>
            <w:tabs>
              <w:tab w:val="right" w:leader="dot" w:pos="9016"/>
            </w:tabs>
            <w:rPr>
              <w:rFonts w:ascii="Verdana" w:eastAsiaTheme="minorEastAsia" w:hAnsi="Verdana" w:cstheme="minorBidi"/>
              <w:noProof/>
              <w:lang w:eastAsia="en-GB"/>
            </w:rPr>
          </w:pPr>
          <w:hyperlink w:anchor="_Toc500189297" w:history="1">
            <w:r w:rsidR="004157EF" w:rsidRPr="004157EF">
              <w:rPr>
                <w:rStyle w:val="Hyperlink"/>
                <w:rFonts w:ascii="Verdana" w:hAnsi="Verdana"/>
                <w:noProof/>
              </w:rPr>
              <w:t>European Structural and Investment Funds: committing to promote deinstitutionalisation</w:t>
            </w:r>
            <w:r w:rsidR="004157EF" w:rsidRPr="004157EF">
              <w:rPr>
                <w:rFonts w:ascii="Verdana" w:hAnsi="Verdana"/>
                <w:noProof/>
                <w:webHidden/>
              </w:rPr>
              <w:tab/>
            </w:r>
            <w:r w:rsidR="004157EF" w:rsidRPr="004157EF">
              <w:rPr>
                <w:rFonts w:ascii="Verdana" w:hAnsi="Verdana"/>
                <w:noProof/>
                <w:webHidden/>
              </w:rPr>
              <w:fldChar w:fldCharType="begin"/>
            </w:r>
            <w:r w:rsidR="004157EF" w:rsidRPr="004157EF">
              <w:rPr>
                <w:rFonts w:ascii="Verdana" w:hAnsi="Verdana"/>
                <w:noProof/>
                <w:webHidden/>
              </w:rPr>
              <w:instrText xml:space="preserve"> PAGEREF _Toc500189297 \h </w:instrText>
            </w:r>
            <w:r w:rsidR="004157EF" w:rsidRPr="004157EF">
              <w:rPr>
                <w:rFonts w:ascii="Verdana" w:hAnsi="Verdana"/>
                <w:noProof/>
                <w:webHidden/>
              </w:rPr>
            </w:r>
            <w:r w:rsidR="004157EF" w:rsidRPr="004157EF">
              <w:rPr>
                <w:rFonts w:ascii="Verdana" w:hAnsi="Verdana"/>
                <w:noProof/>
                <w:webHidden/>
              </w:rPr>
              <w:fldChar w:fldCharType="separate"/>
            </w:r>
            <w:r w:rsidR="00F709B2">
              <w:rPr>
                <w:rFonts w:ascii="Verdana" w:hAnsi="Verdana"/>
                <w:noProof/>
                <w:webHidden/>
              </w:rPr>
              <w:t>11</w:t>
            </w:r>
            <w:r w:rsidR="004157EF" w:rsidRPr="004157EF">
              <w:rPr>
                <w:rFonts w:ascii="Verdana" w:hAnsi="Verdana"/>
                <w:noProof/>
                <w:webHidden/>
              </w:rPr>
              <w:fldChar w:fldCharType="end"/>
            </w:r>
          </w:hyperlink>
        </w:p>
        <w:p w14:paraId="766B8BD0" w14:textId="77777777" w:rsidR="004157EF" w:rsidRPr="004157EF" w:rsidRDefault="002746D5">
          <w:pPr>
            <w:pStyle w:val="TOC2"/>
            <w:tabs>
              <w:tab w:val="right" w:leader="dot" w:pos="9016"/>
            </w:tabs>
            <w:rPr>
              <w:rFonts w:ascii="Verdana" w:eastAsiaTheme="minorEastAsia" w:hAnsi="Verdana" w:cstheme="minorBidi"/>
              <w:noProof/>
              <w:lang w:eastAsia="en-GB"/>
            </w:rPr>
          </w:pPr>
          <w:hyperlink w:anchor="_Toc500189298" w:history="1">
            <w:r w:rsidR="004157EF" w:rsidRPr="004157EF">
              <w:rPr>
                <w:rStyle w:val="Hyperlink"/>
                <w:rFonts w:ascii="Verdana" w:hAnsi="Verdana"/>
                <w:noProof/>
              </w:rPr>
              <w:t>National commitments: guiding deinstitutionalisation in Member States</w:t>
            </w:r>
            <w:r w:rsidR="004157EF" w:rsidRPr="004157EF">
              <w:rPr>
                <w:rFonts w:ascii="Verdana" w:hAnsi="Verdana"/>
                <w:noProof/>
                <w:webHidden/>
              </w:rPr>
              <w:tab/>
            </w:r>
            <w:r w:rsidR="004157EF" w:rsidRPr="004157EF">
              <w:rPr>
                <w:rFonts w:ascii="Verdana" w:hAnsi="Verdana"/>
                <w:noProof/>
                <w:webHidden/>
              </w:rPr>
              <w:fldChar w:fldCharType="begin"/>
            </w:r>
            <w:r w:rsidR="004157EF" w:rsidRPr="004157EF">
              <w:rPr>
                <w:rFonts w:ascii="Verdana" w:hAnsi="Verdana"/>
                <w:noProof/>
                <w:webHidden/>
              </w:rPr>
              <w:instrText xml:space="preserve"> PAGEREF _Toc500189298 \h </w:instrText>
            </w:r>
            <w:r w:rsidR="004157EF" w:rsidRPr="004157EF">
              <w:rPr>
                <w:rFonts w:ascii="Verdana" w:hAnsi="Verdana"/>
                <w:noProof/>
                <w:webHidden/>
              </w:rPr>
            </w:r>
            <w:r w:rsidR="004157EF" w:rsidRPr="004157EF">
              <w:rPr>
                <w:rFonts w:ascii="Verdana" w:hAnsi="Verdana"/>
                <w:noProof/>
                <w:webHidden/>
              </w:rPr>
              <w:fldChar w:fldCharType="separate"/>
            </w:r>
            <w:r w:rsidR="00F709B2">
              <w:rPr>
                <w:rFonts w:ascii="Verdana" w:hAnsi="Verdana"/>
                <w:noProof/>
                <w:webHidden/>
              </w:rPr>
              <w:t>13</w:t>
            </w:r>
            <w:r w:rsidR="004157EF" w:rsidRPr="004157EF">
              <w:rPr>
                <w:rFonts w:ascii="Verdana" w:hAnsi="Verdana"/>
                <w:noProof/>
                <w:webHidden/>
              </w:rPr>
              <w:fldChar w:fldCharType="end"/>
            </w:r>
          </w:hyperlink>
        </w:p>
        <w:p w14:paraId="16DFA872" w14:textId="77777777" w:rsidR="004157EF" w:rsidRPr="004157EF" w:rsidRDefault="002746D5">
          <w:pPr>
            <w:pStyle w:val="TOC1"/>
            <w:rPr>
              <w:rFonts w:eastAsiaTheme="minorEastAsia" w:cstheme="minorBidi"/>
              <w:lang w:eastAsia="en-GB"/>
            </w:rPr>
          </w:pPr>
          <w:hyperlink w:anchor="_Toc500189299" w:history="1">
            <w:r w:rsidR="004157EF" w:rsidRPr="004157EF">
              <w:rPr>
                <w:rStyle w:val="Hyperlink"/>
                <w:b/>
              </w:rPr>
              <w:t>2</w:t>
            </w:r>
            <w:r w:rsidR="004157EF" w:rsidRPr="004157EF">
              <w:rPr>
                <w:rFonts w:eastAsiaTheme="minorEastAsia" w:cstheme="minorBidi"/>
                <w:b/>
                <w:lang w:eastAsia="en-GB"/>
              </w:rPr>
              <w:tab/>
            </w:r>
            <w:r w:rsidR="004157EF" w:rsidRPr="004157EF">
              <w:rPr>
                <w:rStyle w:val="Hyperlink"/>
                <w:b/>
              </w:rPr>
              <w:t>Turning commitment into reality</w:t>
            </w:r>
            <w:r w:rsidR="004157EF" w:rsidRPr="004157EF">
              <w:rPr>
                <w:webHidden/>
              </w:rPr>
              <w:tab/>
            </w:r>
            <w:r w:rsidR="004157EF" w:rsidRPr="004157EF">
              <w:rPr>
                <w:webHidden/>
              </w:rPr>
              <w:fldChar w:fldCharType="begin"/>
            </w:r>
            <w:r w:rsidR="004157EF" w:rsidRPr="004157EF">
              <w:rPr>
                <w:webHidden/>
              </w:rPr>
              <w:instrText xml:space="preserve"> PAGEREF _Toc500189299 \h </w:instrText>
            </w:r>
            <w:r w:rsidR="004157EF" w:rsidRPr="004157EF">
              <w:rPr>
                <w:webHidden/>
              </w:rPr>
            </w:r>
            <w:r w:rsidR="004157EF" w:rsidRPr="004157EF">
              <w:rPr>
                <w:webHidden/>
              </w:rPr>
              <w:fldChar w:fldCharType="separate"/>
            </w:r>
            <w:r w:rsidR="00F709B2">
              <w:rPr>
                <w:webHidden/>
              </w:rPr>
              <w:t>19</w:t>
            </w:r>
            <w:r w:rsidR="004157EF" w:rsidRPr="004157EF">
              <w:rPr>
                <w:webHidden/>
              </w:rPr>
              <w:fldChar w:fldCharType="end"/>
            </w:r>
          </w:hyperlink>
        </w:p>
        <w:p w14:paraId="1D4DD6E3" w14:textId="77777777" w:rsidR="004157EF" w:rsidRPr="004157EF" w:rsidRDefault="002746D5">
          <w:pPr>
            <w:pStyle w:val="TOC1"/>
            <w:rPr>
              <w:rFonts w:eastAsiaTheme="minorEastAsia" w:cstheme="minorBidi"/>
              <w:lang w:eastAsia="en-GB"/>
            </w:rPr>
          </w:pPr>
          <w:hyperlink w:anchor="_Toc500189300" w:history="1">
            <w:r w:rsidR="004157EF" w:rsidRPr="004157EF">
              <w:rPr>
                <w:rStyle w:val="Hyperlink"/>
                <w:b/>
              </w:rPr>
              <w:t>Conclusions</w:t>
            </w:r>
            <w:r w:rsidR="004157EF" w:rsidRPr="004157EF">
              <w:rPr>
                <w:webHidden/>
              </w:rPr>
              <w:tab/>
            </w:r>
            <w:r w:rsidR="004157EF" w:rsidRPr="004157EF">
              <w:rPr>
                <w:webHidden/>
              </w:rPr>
              <w:fldChar w:fldCharType="begin"/>
            </w:r>
            <w:r w:rsidR="004157EF" w:rsidRPr="004157EF">
              <w:rPr>
                <w:webHidden/>
              </w:rPr>
              <w:instrText xml:space="preserve"> PAGEREF _Toc500189300 \h </w:instrText>
            </w:r>
            <w:r w:rsidR="004157EF" w:rsidRPr="004157EF">
              <w:rPr>
                <w:webHidden/>
              </w:rPr>
            </w:r>
            <w:r w:rsidR="004157EF" w:rsidRPr="004157EF">
              <w:rPr>
                <w:webHidden/>
              </w:rPr>
              <w:fldChar w:fldCharType="separate"/>
            </w:r>
            <w:r w:rsidR="00F709B2">
              <w:rPr>
                <w:webHidden/>
              </w:rPr>
              <w:t>24</w:t>
            </w:r>
            <w:r w:rsidR="004157EF" w:rsidRPr="004157EF">
              <w:rPr>
                <w:webHidden/>
              </w:rPr>
              <w:fldChar w:fldCharType="end"/>
            </w:r>
          </w:hyperlink>
        </w:p>
        <w:p w14:paraId="4E398227" w14:textId="258536AB" w:rsidR="004157EF" w:rsidRPr="004157EF" w:rsidRDefault="002746D5">
          <w:pPr>
            <w:pStyle w:val="TOC1"/>
            <w:rPr>
              <w:rFonts w:eastAsiaTheme="minorEastAsia" w:cstheme="minorBidi"/>
              <w:lang w:eastAsia="en-GB"/>
            </w:rPr>
          </w:pPr>
          <w:hyperlink w:anchor="_Toc500189301" w:history="1">
            <w:r w:rsidR="004157EF" w:rsidRPr="004157EF">
              <w:rPr>
                <w:rStyle w:val="Hyperlink"/>
                <w:b/>
              </w:rPr>
              <w:t>Annex</w:t>
            </w:r>
            <w:r w:rsidR="004157EF" w:rsidRPr="004157EF">
              <w:rPr>
                <w:rStyle w:val="Hyperlink"/>
              </w:rPr>
              <w:t xml:space="preserve">:  </w:t>
            </w:r>
            <w:r w:rsidR="004157EF">
              <w:rPr>
                <w:rStyle w:val="Hyperlink"/>
              </w:rPr>
              <w:br/>
            </w:r>
            <w:r w:rsidR="004157EF" w:rsidRPr="004157EF">
              <w:rPr>
                <w:rStyle w:val="Hyperlink"/>
              </w:rPr>
              <w:t>FRA's project on the right to live independently and be included in the community</w:t>
            </w:r>
            <w:r w:rsidR="004157EF" w:rsidRPr="004157EF">
              <w:rPr>
                <w:webHidden/>
              </w:rPr>
              <w:tab/>
            </w:r>
            <w:r w:rsidR="004157EF" w:rsidRPr="004157EF">
              <w:rPr>
                <w:webHidden/>
              </w:rPr>
              <w:fldChar w:fldCharType="begin"/>
            </w:r>
            <w:r w:rsidR="004157EF" w:rsidRPr="004157EF">
              <w:rPr>
                <w:webHidden/>
              </w:rPr>
              <w:instrText xml:space="preserve"> PAGEREF _Toc500189301 \h </w:instrText>
            </w:r>
            <w:r w:rsidR="004157EF" w:rsidRPr="004157EF">
              <w:rPr>
                <w:webHidden/>
              </w:rPr>
            </w:r>
            <w:r w:rsidR="004157EF" w:rsidRPr="004157EF">
              <w:rPr>
                <w:webHidden/>
              </w:rPr>
              <w:fldChar w:fldCharType="separate"/>
            </w:r>
            <w:r w:rsidR="00F709B2">
              <w:rPr>
                <w:webHidden/>
              </w:rPr>
              <w:t>25</w:t>
            </w:r>
            <w:r w:rsidR="004157EF" w:rsidRPr="004157EF">
              <w:rPr>
                <w:webHidden/>
              </w:rPr>
              <w:fldChar w:fldCharType="end"/>
            </w:r>
          </w:hyperlink>
        </w:p>
        <w:p w14:paraId="0F42FB25" w14:textId="77777777" w:rsidR="004157EF" w:rsidRPr="004157EF" w:rsidRDefault="002746D5" w:rsidP="004157EF">
          <w:pPr>
            <w:pStyle w:val="TOC3"/>
            <w:ind w:left="0"/>
            <w:rPr>
              <w:rFonts w:eastAsiaTheme="minorEastAsia" w:cstheme="minorBidi"/>
              <w:lang w:eastAsia="en-GB"/>
            </w:rPr>
          </w:pPr>
          <w:hyperlink w:anchor="_Toc500189302" w:history="1">
            <w:r w:rsidR="004157EF" w:rsidRPr="004157EF">
              <w:rPr>
                <w:rStyle w:val="Hyperlink"/>
              </w:rPr>
              <w:t>Developing and applying human rights indicators</w:t>
            </w:r>
            <w:r w:rsidR="004157EF" w:rsidRPr="004157EF">
              <w:rPr>
                <w:webHidden/>
              </w:rPr>
              <w:tab/>
            </w:r>
            <w:r w:rsidR="004157EF" w:rsidRPr="004157EF">
              <w:rPr>
                <w:webHidden/>
              </w:rPr>
              <w:fldChar w:fldCharType="begin"/>
            </w:r>
            <w:r w:rsidR="004157EF" w:rsidRPr="004157EF">
              <w:rPr>
                <w:webHidden/>
              </w:rPr>
              <w:instrText xml:space="preserve"> PAGEREF _Toc500189302 \h </w:instrText>
            </w:r>
            <w:r w:rsidR="004157EF" w:rsidRPr="004157EF">
              <w:rPr>
                <w:webHidden/>
              </w:rPr>
            </w:r>
            <w:r w:rsidR="004157EF" w:rsidRPr="004157EF">
              <w:rPr>
                <w:webHidden/>
              </w:rPr>
              <w:fldChar w:fldCharType="separate"/>
            </w:r>
            <w:r w:rsidR="00F709B2">
              <w:rPr>
                <w:webHidden/>
              </w:rPr>
              <w:t>26</w:t>
            </w:r>
            <w:r w:rsidR="004157EF" w:rsidRPr="004157EF">
              <w:rPr>
                <w:webHidden/>
              </w:rPr>
              <w:fldChar w:fldCharType="end"/>
            </w:r>
          </w:hyperlink>
        </w:p>
        <w:p w14:paraId="4295D9DD" w14:textId="6C333D14" w:rsidR="00922555" w:rsidRPr="004157EF" w:rsidRDefault="00922555" w:rsidP="009A3DCA">
          <w:pPr>
            <w:spacing w:line="360" w:lineRule="auto"/>
            <w:rPr>
              <w:rFonts w:ascii="Verdana" w:hAnsi="Verdana"/>
            </w:rPr>
          </w:pPr>
          <w:r w:rsidRPr="004157EF">
            <w:rPr>
              <w:rFonts w:ascii="Verdana" w:hAnsi="Verdana"/>
            </w:rPr>
            <w:fldChar w:fldCharType="end"/>
          </w:r>
        </w:p>
      </w:sdtContent>
    </w:sdt>
    <w:p w14:paraId="6573A41C" w14:textId="77777777" w:rsidR="008A189E" w:rsidRPr="004157EF" w:rsidRDefault="008A189E" w:rsidP="002C3ACE">
      <w:pPr>
        <w:rPr>
          <w:rFonts w:ascii="Verdana" w:hAnsi="Verdana"/>
        </w:rPr>
      </w:pPr>
    </w:p>
    <w:p w14:paraId="5C1182D2" w14:textId="77777777" w:rsidR="008A189E" w:rsidRPr="00F43F87" w:rsidRDefault="008A189E" w:rsidP="002C3ACE">
      <w:pPr>
        <w:rPr>
          <w:rFonts w:ascii="Verdana" w:hAnsi="Verdana"/>
        </w:rPr>
      </w:pPr>
      <w:r w:rsidRPr="00F43F87">
        <w:rPr>
          <w:rFonts w:ascii="Verdana" w:hAnsi="Verdana"/>
        </w:rPr>
        <w:br w:type="page"/>
      </w:r>
    </w:p>
    <w:p w14:paraId="5AA6C260" w14:textId="0DCD3FA5" w:rsidR="00780BDC" w:rsidRPr="00CA7435" w:rsidRDefault="00504E9F" w:rsidP="00F61D76">
      <w:pPr>
        <w:pStyle w:val="Heading1"/>
        <w:rPr>
          <w:szCs w:val="30"/>
        </w:rPr>
      </w:pPr>
      <w:bookmarkStart w:id="1" w:name="_Toc486941432"/>
      <w:bookmarkStart w:id="2" w:name="_Toc500189293"/>
      <w:bookmarkStart w:id="3" w:name="_Toc485993643"/>
      <w:bookmarkStart w:id="4" w:name="_Toc485998448"/>
      <w:r w:rsidRPr="00CA7435">
        <w:rPr>
          <w:szCs w:val="30"/>
        </w:rPr>
        <w:lastRenderedPageBreak/>
        <w:t>Introduction</w:t>
      </w:r>
      <w:bookmarkEnd w:id="1"/>
      <w:bookmarkEnd w:id="2"/>
    </w:p>
    <w:bookmarkEnd w:id="3"/>
    <w:bookmarkEnd w:id="4"/>
    <w:p w14:paraId="34E31202" w14:textId="6E8DE613" w:rsidR="00AA144D" w:rsidRPr="00F43F87" w:rsidRDefault="00F62D89" w:rsidP="004D7E8E">
      <w:pPr>
        <w:pStyle w:val="Quote"/>
        <w:ind w:left="0"/>
        <w:rPr>
          <w:rStyle w:val="FootnoteReference"/>
          <w:rFonts w:ascii="Verdana" w:hAnsi="Verdana"/>
          <w:vertAlign w:val="baseline"/>
        </w:rPr>
      </w:pPr>
      <w:r w:rsidRPr="00F43F87">
        <w:rPr>
          <w:rFonts w:ascii="Verdana" w:hAnsi="Verdana"/>
        </w:rPr>
        <w:t>“Recognizing</w:t>
      </w:r>
      <w:r w:rsidR="0094481E" w:rsidRPr="00F43F87">
        <w:rPr>
          <w:rFonts w:ascii="Verdana" w:hAnsi="Verdana"/>
        </w:rPr>
        <w:t xml:space="preserve"> the right to live in the community is about enabling people to live their lives to their fullest within society […]. It is a foundational platform for all other rights: a precondition for anyone to enjoy all their human rights is that they are within and among the community.</w:t>
      </w:r>
      <w:r w:rsidRPr="00F43F87">
        <w:rPr>
          <w:rFonts w:ascii="Verdana" w:hAnsi="Verdana"/>
        </w:rPr>
        <w:t>”</w:t>
      </w:r>
    </w:p>
    <w:p w14:paraId="4D65D410" w14:textId="77777777" w:rsidR="00D3783A" w:rsidRDefault="0094481E" w:rsidP="00301264">
      <w:pPr>
        <w:rPr>
          <w:rFonts w:ascii="Verdana" w:hAnsi="Verdana"/>
          <w:i/>
          <w:sz w:val="18"/>
          <w:szCs w:val="18"/>
        </w:rPr>
      </w:pPr>
      <w:r w:rsidRPr="00D3783A">
        <w:rPr>
          <w:rFonts w:ascii="Verdana" w:hAnsi="Verdana"/>
          <w:i/>
          <w:sz w:val="18"/>
          <w:szCs w:val="18"/>
        </w:rPr>
        <w:t>Council of Europe Commissioner for Human Rights (2012),</w:t>
      </w:r>
      <w:r w:rsidRPr="00D3783A">
        <w:rPr>
          <w:rFonts w:ascii="Verdana" w:hAnsi="Verdana"/>
          <w:sz w:val="18"/>
          <w:szCs w:val="18"/>
        </w:rPr>
        <w:t xml:space="preserve"> </w:t>
      </w:r>
      <w:hyperlink r:id="rId11" w:history="1">
        <w:r w:rsidRPr="00D3783A">
          <w:rPr>
            <w:rStyle w:val="Hyperlink"/>
            <w:rFonts w:ascii="Verdana" w:hAnsi="Verdana"/>
            <w:sz w:val="18"/>
            <w:szCs w:val="18"/>
          </w:rPr>
          <w:t>The right of persons with disabilities to live independently and be included in the community</w:t>
        </w:r>
      </w:hyperlink>
      <w:r w:rsidRPr="00D3783A">
        <w:rPr>
          <w:rFonts w:ascii="Verdana" w:hAnsi="Verdana"/>
          <w:sz w:val="18"/>
          <w:szCs w:val="18"/>
        </w:rPr>
        <w:t xml:space="preserve">, </w:t>
      </w:r>
      <w:r w:rsidRPr="00D3783A">
        <w:rPr>
          <w:rFonts w:ascii="Verdana" w:hAnsi="Verdana"/>
          <w:i/>
          <w:sz w:val="18"/>
          <w:szCs w:val="18"/>
        </w:rPr>
        <w:t>Issue Paper, p.</w:t>
      </w:r>
      <w:r w:rsidR="0061543A" w:rsidRPr="00D3783A">
        <w:rPr>
          <w:rFonts w:ascii="Verdana" w:hAnsi="Verdana"/>
          <w:i/>
          <w:sz w:val="18"/>
          <w:szCs w:val="18"/>
        </w:rPr>
        <w:t> </w:t>
      </w:r>
      <w:r w:rsidRPr="00D3783A">
        <w:rPr>
          <w:rFonts w:ascii="Verdana" w:hAnsi="Verdana"/>
          <w:i/>
          <w:sz w:val="18"/>
          <w:szCs w:val="18"/>
        </w:rPr>
        <w:t>5</w:t>
      </w:r>
    </w:p>
    <w:p w14:paraId="53C5D537" w14:textId="77777777" w:rsidR="00D3783A" w:rsidRDefault="00D3783A" w:rsidP="00301264">
      <w:pPr>
        <w:rPr>
          <w:rFonts w:ascii="Verdana" w:hAnsi="Verdana"/>
          <w:i/>
          <w:sz w:val="18"/>
          <w:szCs w:val="18"/>
        </w:rPr>
      </w:pPr>
    </w:p>
    <w:p w14:paraId="6718EBFC" w14:textId="40B54158" w:rsidR="00F13662" w:rsidRPr="00747FD5" w:rsidRDefault="003234DF" w:rsidP="00301264">
      <w:pPr>
        <w:rPr>
          <w:rFonts w:ascii="Verdana" w:hAnsi="Verdana"/>
        </w:rPr>
      </w:pPr>
      <w:r w:rsidRPr="00F43F87">
        <w:rPr>
          <w:rFonts w:ascii="Verdana" w:hAnsi="Verdana"/>
        </w:rPr>
        <w:t>Article </w:t>
      </w:r>
      <w:r w:rsidR="00095EA4" w:rsidRPr="00F43F87">
        <w:rPr>
          <w:rFonts w:ascii="Verdana" w:hAnsi="Verdana"/>
        </w:rPr>
        <w:t>19</w:t>
      </w:r>
      <w:r w:rsidR="00747FD5">
        <w:rPr>
          <w:rFonts w:ascii="Verdana" w:hAnsi="Verdana"/>
        </w:rPr>
        <w:t xml:space="preserve"> of the United Nations (UN) </w:t>
      </w:r>
      <w:r w:rsidR="007F1A93" w:rsidRPr="00F43F87">
        <w:rPr>
          <w:rFonts w:ascii="Verdana" w:hAnsi="Verdana"/>
        </w:rPr>
        <w:t>Conve</w:t>
      </w:r>
      <w:r w:rsidR="00747FD5">
        <w:rPr>
          <w:rFonts w:ascii="Verdana" w:hAnsi="Verdana"/>
        </w:rPr>
        <w:t xml:space="preserve">ntion on the Rights of Persons with </w:t>
      </w:r>
      <w:r w:rsidR="007F1A93" w:rsidRPr="00F43F87">
        <w:rPr>
          <w:rFonts w:ascii="Verdana" w:hAnsi="Verdana"/>
        </w:rPr>
        <w:t>Disabilities (CRPD)</w:t>
      </w:r>
      <w:r w:rsidR="00095EA4" w:rsidRPr="00F43F87">
        <w:rPr>
          <w:rFonts w:ascii="Verdana" w:hAnsi="Verdana"/>
        </w:rPr>
        <w:t xml:space="preserve"> set</w:t>
      </w:r>
      <w:r w:rsidR="006A273F" w:rsidRPr="00F43F87">
        <w:rPr>
          <w:rFonts w:ascii="Verdana" w:hAnsi="Verdana"/>
        </w:rPr>
        <w:t>s</w:t>
      </w:r>
      <w:r w:rsidR="00095EA4" w:rsidRPr="00F43F87">
        <w:rPr>
          <w:rFonts w:ascii="Verdana" w:hAnsi="Verdana"/>
        </w:rPr>
        <w:t xml:space="preserve"> out t</w:t>
      </w:r>
      <w:r w:rsidR="00D26C14" w:rsidRPr="00F43F87">
        <w:rPr>
          <w:rFonts w:ascii="Verdana" w:hAnsi="Verdana"/>
        </w:rPr>
        <w:t>he right to live independently and be included in the community</w:t>
      </w:r>
      <w:r w:rsidR="00BF2ABD" w:rsidRPr="00F43F87">
        <w:rPr>
          <w:rFonts w:ascii="Verdana" w:hAnsi="Verdana"/>
        </w:rPr>
        <w:t>.</w:t>
      </w:r>
      <w:r w:rsidR="007F1A93" w:rsidRPr="00F43F87">
        <w:rPr>
          <w:rFonts w:ascii="Verdana" w:hAnsi="Verdana"/>
        </w:rPr>
        <w:t xml:space="preserve"> </w:t>
      </w:r>
      <w:r w:rsidR="00BF2ABD" w:rsidRPr="00F43F87">
        <w:rPr>
          <w:rFonts w:ascii="Verdana" w:hAnsi="Verdana"/>
        </w:rPr>
        <w:t>It</w:t>
      </w:r>
      <w:r w:rsidR="006A273F" w:rsidRPr="00F43F87">
        <w:rPr>
          <w:rFonts w:ascii="Verdana" w:hAnsi="Verdana"/>
        </w:rPr>
        <w:t xml:space="preserve"> </w:t>
      </w:r>
      <w:r w:rsidR="00D26C14" w:rsidRPr="00F43F87">
        <w:rPr>
          <w:rFonts w:ascii="Verdana" w:hAnsi="Verdana"/>
        </w:rPr>
        <w:t xml:space="preserve">lies at the heart of the </w:t>
      </w:r>
      <w:r w:rsidR="006A273F" w:rsidRPr="00F43F87">
        <w:rPr>
          <w:rFonts w:ascii="Verdana" w:hAnsi="Verdana"/>
        </w:rPr>
        <w:t>convention</w:t>
      </w:r>
      <w:r w:rsidR="00D26C14" w:rsidRPr="00F43F87">
        <w:rPr>
          <w:rFonts w:ascii="Verdana" w:hAnsi="Verdana"/>
        </w:rPr>
        <w:t>.</w:t>
      </w:r>
      <w:r w:rsidR="00C048EE" w:rsidRPr="00F43F87">
        <w:rPr>
          <w:rFonts w:ascii="Verdana" w:hAnsi="Verdana"/>
        </w:rPr>
        <w:t xml:space="preserve"> </w:t>
      </w:r>
      <w:r w:rsidR="007F1A93" w:rsidRPr="00F43F87">
        <w:rPr>
          <w:rFonts w:ascii="Verdana" w:hAnsi="Verdana"/>
        </w:rPr>
        <w:t xml:space="preserve">It </w:t>
      </w:r>
      <w:r w:rsidR="00532AAF" w:rsidRPr="00F43F87">
        <w:rPr>
          <w:rFonts w:ascii="Verdana" w:hAnsi="Verdana"/>
        </w:rPr>
        <w:t>r</w:t>
      </w:r>
      <w:r w:rsidR="00CE1DD0" w:rsidRPr="00F43F87">
        <w:rPr>
          <w:rFonts w:ascii="Verdana" w:hAnsi="Verdana"/>
        </w:rPr>
        <w:t>epresent</w:t>
      </w:r>
      <w:r w:rsidR="00532AAF" w:rsidRPr="00F43F87">
        <w:rPr>
          <w:rFonts w:ascii="Verdana" w:hAnsi="Verdana"/>
        </w:rPr>
        <w:t>s</w:t>
      </w:r>
      <w:r w:rsidR="00CE1DD0" w:rsidRPr="00F43F87">
        <w:rPr>
          <w:rFonts w:ascii="Verdana" w:hAnsi="Verdana"/>
        </w:rPr>
        <w:t xml:space="preserve"> </w:t>
      </w:r>
      <w:r w:rsidR="00F62D89" w:rsidRPr="00F43F87">
        <w:rPr>
          <w:rFonts w:ascii="Verdana" w:hAnsi="Verdana"/>
        </w:rPr>
        <w:t>“</w:t>
      </w:r>
      <w:r w:rsidR="00CE1DD0" w:rsidRPr="00F43F87">
        <w:rPr>
          <w:rFonts w:ascii="Verdana" w:hAnsi="Verdana"/>
        </w:rPr>
        <w:t>the sum of the various parts of the convention</w:t>
      </w:r>
      <w:r w:rsidR="00F62D89" w:rsidRPr="00F43F87">
        <w:rPr>
          <w:rFonts w:ascii="Verdana" w:hAnsi="Verdana"/>
        </w:rPr>
        <w:t>”</w:t>
      </w:r>
      <w:r w:rsidR="00CE1DD0" w:rsidRPr="00F43F87">
        <w:rPr>
          <w:rFonts w:ascii="Verdana" w:hAnsi="Verdana"/>
        </w:rPr>
        <w:t xml:space="preserve"> </w:t>
      </w:r>
      <w:r w:rsidR="00532AAF" w:rsidRPr="00F43F87">
        <w:rPr>
          <w:rFonts w:ascii="Verdana" w:hAnsi="Verdana"/>
        </w:rPr>
        <w:t>and</w:t>
      </w:r>
      <w:r w:rsidR="00CE1DD0" w:rsidRPr="00F43F87">
        <w:rPr>
          <w:rFonts w:ascii="Verdana" w:hAnsi="Verdana"/>
        </w:rPr>
        <w:t xml:space="preserve"> brings together</w:t>
      </w:r>
      <w:r w:rsidR="003A29F7" w:rsidRPr="00F43F87">
        <w:rPr>
          <w:rFonts w:ascii="Verdana" w:hAnsi="Verdana"/>
        </w:rPr>
        <w:t xml:space="preserve"> the principles of equality, autonomy and inclusion</w:t>
      </w:r>
      <w:r w:rsidR="00532AAF" w:rsidRPr="00F43F87">
        <w:rPr>
          <w:rFonts w:ascii="Verdana" w:hAnsi="Verdana"/>
        </w:rPr>
        <w:t>.</w:t>
      </w:r>
      <w:r w:rsidR="00F13662" w:rsidRPr="00F43F87">
        <w:rPr>
          <w:rStyle w:val="EndnoteReference"/>
          <w:rFonts w:ascii="Verdana" w:hAnsi="Verdana"/>
          <w:lang w:val="en-IE"/>
        </w:rPr>
        <w:endnoteReference w:id="2"/>
      </w:r>
      <w:r w:rsidR="00F13662" w:rsidRPr="00F43F87">
        <w:rPr>
          <w:rFonts w:ascii="Verdana" w:hAnsi="Verdana"/>
        </w:rPr>
        <w:t xml:space="preserve"> These</w:t>
      </w:r>
      <w:r w:rsidR="00301264">
        <w:rPr>
          <w:rFonts w:ascii="Verdana" w:hAnsi="Verdana"/>
        </w:rPr>
        <w:t xml:space="preserve">  </w:t>
      </w:r>
      <w:r w:rsidR="00F13662" w:rsidRPr="00F43F87">
        <w:rPr>
          <w:rFonts w:ascii="Verdana" w:hAnsi="Verdana"/>
        </w:rPr>
        <w:t>underpin the convention’s human rights-based approach to disability. This paper shortens the name of the right to the right to independent living.</w:t>
      </w:r>
    </w:p>
    <w:p w14:paraId="240E8EC7" w14:textId="1A639320" w:rsidR="00F13662" w:rsidRPr="00F43F87" w:rsidRDefault="00F13662" w:rsidP="00301264">
      <w:pPr>
        <w:rPr>
          <w:rStyle w:val="EndnoteReference"/>
          <w:rFonts w:ascii="Verdana" w:hAnsi="Verdana"/>
        </w:rPr>
      </w:pPr>
      <w:r w:rsidRPr="00F43F87">
        <w:rPr>
          <w:rFonts w:ascii="Verdana" w:hAnsi="Verdana"/>
        </w:rPr>
        <w:t xml:space="preserve">The </w:t>
      </w:r>
      <w:r w:rsidR="0031362B" w:rsidRPr="00F43F87">
        <w:rPr>
          <w:rFonts w:ascii="Verdana" w:hAnsi="Verdana"/>
        </w:rPr>
        <w:t>CRPD </w:t>
      </w:r>
      <w:r w:rsidRPr="00F43F87">
        <w:rPr>
          <w:rFonts w:ascii="Verdana" w:hAnsi="Verdana"/>
        </w:rPr>
        <w:t>does not specifically mention deinstitutional</w:t>
      </w:r>
      <w:r w:rsidR="009804A9">
        <w:rPr>
          <w:rFonts w:ascii="Verdana" w:hAnsi="Verdana"/>
        </w:rPr>
        <w:t>isation. However, the Committee on the Rights of Persons with Disabilities</w:t>
      </w:r>
      <w:r w:rsidRPr="00F43F87">
        <w:rPr>
          <w:rFonts w:ascii="Verdana" w:hAnsi="Verdana"/>
        </w:rPr>
        <w:t> (</w:t>
      </w:r>
      <w:r w:rsidR="0031362B" w:rsidRPr="00F43F87">
        <w:rPr>
          <w:rFonts w:ascii="Verdana" w:hAnsi="Verdana"/>
        </w:rPr>
        <w:t>CRPD </w:t>
      </w:r>
      <w:r w:rsidRPr="00F43F87">
        <w:rPr>
          <w:rFonts w:ascii="Verdana" w:hAnsi="Verdana"/>
        </w:rPr>
        <w:t>Committee) has underlined that it is an essential component of fulfilling Article 19, given that “independent living and being included in the community refer to life settings outside residential institutions of all kinds”.</w:t>
      </w:r>
      <w:r w:rsidRPr="00F43F87">
        <w:rPr>
          <w:rStyle w:val="EndnoteReference"/>
          <w:rFonts w:ascii="Verdana" w:hAnsi="Verdana"/>
        </w:rPr>
        <w:endnoteReference w:id="3"/>
      </w:r>
    </w:p>
    <w:p w14:paraId="4F8FA64A" w14:textId="699E5842" w:rsidR="00F13662" w:rsidRPr="00F43F87" w:rsidRDefault="00F13662" w:rsidP="002C3ACE">
      <w:pPr>
        <w:rPr>
          <w:rFonts w:ascii="Verdana" w:hAnsi="Verdana"/>
        </w:rPr>
      </w:pPr>
      <w:r w:rsidRPr="00F43F87">
        <w:rPr>
          <w:rFonts w:ascii="Verdana" w:hAnsi="Verdana"/>
        </w:rPr>
        <w:t xml:space="preserve">There is no internationally accepted definition of deinstitutionalisation. The </w:t>
      </w:r>
      <w:r w:rsidR="0031362B" w:rsidRPr="00F43F87">
        <w:rPr>
          <w:rFonts w:ascii="Verdana" w:hAnsi="Verdana"/>
        </w:rPr>
        <w:t>UN </w:t>
      </w:r>
      <w:r w:rsidRPr="00F43F87">
        <w:rPr>
          <w:rFonts w:ascii="Verdana" w:hAnsi="Verdana"/>
        </w:rPr>
        <w:t>Office of the High Commissioner for Human Rights (OHCHR) has described it as “a process that provides for a shift in living arrangements for persons with disabilities, from institutional and other segregating settings to a system enabling social participation where services are provided in the community according to individual will and preference.”</w:t>
      </w:r>
      <w:r w:rsidRPr="00F43F87">
        <w:rPr>
          <w:rStyle w:val="EndnoteReference"/>
          <w:rFonts w:ascii="Verdana" w:hAnsi="Verdana"/>
        </w:rPr>
        <w:endnoteReference w:id="4"/>
      </w:r>
      <w:r w:rsidRPr="00F43F87">
        <w:rPr>
          <w:rFonts w:ascii="Verdana" w:hAnsi="Verdana"/>
        </w:rPr>
        <w:t xml:space="preserve"> This report uses ‘the transition from institutional to community-based support’</w:t>
      </w:r>
      <w:r w:rsidR="004256CD">
        <w:rPr>
          <w:rFonts w:ascii="Verdana" w:hAnsi="Verdana"/>
        </w:rPr>
        <w:t xml:space="preserve"> interchangeably with </w:t>
      </w:r>
      <w:r w:rsidRPr="00F43F87">
        <w:rPr>
          <w:rFonts w:ascii="Verdana" w:hAnsi="Verdana"/>
        </w:rPr>
        <w:t>‘deinstitutionalisation’.</w:t>
      </w:r>
    </w:p>
    <w:p w14:paraId="54EB35E1" w14:textId="6D4665A0" w:rsidR="00F13662" w:rsidRPr="00F43F87" w:rsidRDefault="00F13662" w:rsidP="002C3ACE">
      <w:pPr>
        <w:rPr>
          <w:rFonts w:ascii="Verdana" w:hAnsi="Verdana"/>
        </w:rPr>
      </w:pPr>
      <w:r w:rsidRPr="00F43F87">
        <w:rPr>
          <w:rFonts w:ascii="Verdana" w:hAnsi="Verdana"/>
        </w:rPr>
        <w:t>Achieving this transition is therefore not limited to changing the place or type of residence. Instead, it entails a profound shift from environments characterised by routine and an ‘institutional culture’ to those where persons with disabilities exercise choice and control over their lives and any support they may require. As such, ‘deinstitutionalisation’ implies not merely closing institutions.</w:t>
      </w:r>
      <w:r w:rsidR="004256CD">
        <w:rPr>
          <w:rFonts w:ascii="Verdana" w:hAnsi="Verdana"/>
        </w:rPr>
        <w:t xml:space="preserve"> </w:t>
      </w:r>
      <w:r w:rsidRPr="00F43F87">
        <w:rPr>
          <w:rFonts w:ascii="Verdana" w:hAnsi="Verdana"/>
        </w:rPr>
        <w:t>It encompasses developing a “range of services in the community […] to prevent the need for institutional care.”</w:t>
      </w:r>
      <w:r w:rsidRPr="00F43F87">
        <w:rPr>
          <w:rStyle w:val="EndnoteReference"/>
          <w:rFonts w:ascii="Verdana" w:hAnsi="Verdana"/>
        </w:rPr>
        <w:endnoteReference w:id="5"/>
      </w:r>
    </w:p>
    <w:p w14:paraId="7366BA3C" w14:textId="6379EE94" w:rsidR="00F13662" w:rsidRPr="009A3DCA" w:rsidRDefault="00F13662" w:rsidP="009A3DCA">
      <w:pPr>
        <w:rPr>
          <w:rFonts w:ascii="Verdana" w:hAnsi="Verdana"/>
          <w:b/>
          <w:color w:val="00565B"/>
          <w:sz w:val="26"/>
          <w:szCs w:val="26"/>
        </w:rPr>
      </w:pPr>
      <w:bookmarkStart w:id="5" w:name="_Toc486941433"/>
      <w:bookmarkStart w:id="6" w:name="_Toc499031735"/>
      <w:r w:rsidRPr="009A3DCA">
        <w:rPr>
          <w:rFonts w:ascii="Verdana" w:hAnsi="Verdana"/>
          <w:b/>
          <w:color w:val="00565B"/>
          <w:sz w:val="26"/>
          <w:szCs w:val="26"/>
        </w:rPr>
        <w:t>Why this report?</w:t>
      </w:r>
      <w:bookmarkEnd w:id="5"/>
      <w:bookmarkEnd w:id="6"/>
    </w:p>
    <w:p w14:paraId="4B9D68BD" w14:textId="1427627C" w:rsidR="00F13662" w:rsidRPr="00F43F87" w:rsidRDefault="00F13662" w:rsidP="002C3ACE">
      <w:pPr>
        <w:rPr>
          <w:rFonts w:ascii="Verdana" w:hAnsi="Verdana"/>
        </w:rPr>
      </w:pPr>
      <w:r w:rsidRPr="00F43F87">
        <w:rPr>
          <w:rFonts w:ascii="Verdana" w:hAnsi="Verdana"/>
        </w:rPr>
        <w:t xml:space="preserve">Discussions are under way at the European Union (EU) and national levels about how best to realise the transition from institutional to community-based support. This report contributes to these by bringing together some of the key issues that have emerged from the </w:t>
      </w:r>
      <w:r w:rsidR="0031362B" w:rsidRPr="00F43F87">
        <w:rPr>
          <w:rFonts w:ascii="Verdana" w:hAnsi="Verdana"/>
        </w:rPr>
        <w:t>EU </w:t>
      </w:r>
      <w:r w:rsidRPr="00F43F87">
        <w:rPr>
          <w:rFonts w:ascii="Verdana" w:hAnsi="Verdana"/>
        </w:rPr>
        <w:t>Agency for Fundamental Rights’ (FRA) human rights indicators on Member States’ political and practical commitment to deinstitutionalisation. In particular, it looks at:</w:t>
      </w:r>
    </w:p>
    <w:p w14:paraId="71C0663F" w14:textId="741B8A50" w:rsidR="00F13662" w:rsidRPr="00F43F87" w:rsidRDefault="00F13662" w:rsidP="002C3ACE">
      <w:pPr>
        <w:pStyle w:val="ListParagraph"/>
        <w:numPr>
          <w:ilvl w:val="0"/>
          <w:numId w:val="22"/>
        </w:numPr>
        <w:rPr>
          <w:rFonts w:ascii="Verdana" w:hAnsi="Verdana"/>
        </w:rPr>
      </w:pPr>
      <w:r w:rsidRPr="00F43F87">
        <w:rPr>
          <w:rFonts w:ascii="Verdana" w:hAnsi="Verdana"/>
        </w:rPr>
        <w:lastRenderedPageBreak/>
        <w:t>commitment to deinstitutionalisation:</w:t>
      </w:r>
    </w:p>
    <w:p w14:paraId="70C7FF23" w14:textId="1F291835" w:rsidR="00F13662" w:rsidRDefault="00F13662" w:rsidP="002C3ACE">
      <w:pPr>
        <w:pStyle w:val="ListParagraph"/>
        <w:numPr>
          <w:ilvl w:val="1"/>
          <w:numId w:val="22"/>
        </w:numPr>
        <w:rPr>
          <w:rFonts w:ascii="Verdana" w:hAnsi="Verdana"/>
        </w:rPr>
      </w:pPr>
      <w:r w:rsidRPr="00F43F87">
        <w:rPr>
          <w:rFonts w:ascii="Verdana" w:hAnsi="Verdana"/>
        </w:rPr>
        <w:t xml:space="preserve">the international and </w:t>
      </w:r>
      <w:r w:rsidR="0031362B" w:rsidRPr="00F43F87">
        <w:rPr>
          <w:rFonts w:ascii="Verdana" w:hAnsi="Verdana"/>
        </w:rPr>
        <w:t>EU </w:t>
      </w:r>
      <w:r w:rsidRPr="00F43F87">
        <w:rPr>
          <w:rFonts w:ascii="Verdana" w:hAnsi="Verdana"/>
        </w:rPr>
        <w:t>legal and political instruments related to deinstitutionalisation that Member States have committed to implementing;</w:t>
      </w:r>
    </w:p>
    <w:p w14:paraId="0566332B" w14:textId="77777777" w:rsidR="004D7E8E" w:rsidRPr="00F43F87" w:rsidRDefault="004D7E8E" w:rsidP="004D7E8E">
      <w:pPr>
        <w:pStyle w:val="ListParagraph"/>
        <w:ind w:left="1440"/>
        <w:rPr>
          <w:rFonts w:ascii="Verdana" w:hAnsi="Verdana"/>
        </w:rPr>
      </w:pPr>
    </w:p>
    <w:p w14:paraId="78D95460" w14:textId="097539A4" w:rsidR="004D7E8E" w:rsidRPr="00EF27A2" w:rsidRDefault="00F13662" w:rsidP="00EF27A2">
      <w:pPr>
        <w:pStyle w:val="ListParagraph"/>
        <w:numPr>
          <w:ilvl w:val="1"/>
          <w:numId w:val="22"/>
        </w:numPr>
        <w:rPr>
          <w:rFonts w:ascii="Verdana" w:hAnsi="Verdana"/>
        </w:rPr>
      </w:pPr>
      <w:r w:rsidRPr="00EF27A2">
        <w:rPr>
          <w:rFonts w:ascii="Verdana" w:hAnsi="Verdana"/>
        </w:rPr>
        <w:t>strategies and commitments guiding deinstitutionalisation at the national level;</w:t>
      </w:r>
    </w:p>
    <w:p w14:paraId="50EB95A9" w14:textId="77777777" w:rsidR="004D7E8E" w:rsidRPr="00F43F87" w:rsidRDefault="004D7E8E" w:rsidP="004D7E8E">
      <w:pPr>
        <w:pStyle w:val="ListParagraph"/>
        <w:ind w:left="1440"/>
        <w:rPr>
          <w:rFonts w:ascii="Verdana" w:hAnsi="Verdana"/>
        </w:rPr>
      </w:pPr>
    </w:p>
    <w:p w14:paraId="7C5CC25D" w14:textId="61D51548" w:rsidR="00F13662" w:rsidRPr="00F43F87" w:rsidRDefault="00F13662" w:rsidP="002C3ACE">
      <w:pPr>
        <w:pStyle w:val="ListParagraph"/>
        <w:numPr>
          <w:ilvl w:val="0"/>
          <w:numId w:val="22"/>
        </w:numPr>
        <w:rPr>
          <w:rFonts w:ascii="Verdana" w:hAnsi="Verdana"/>
        </w:rPr>
      </w:pPr>
      <w:r w:rsidRPr="00F43F87">
        <w:rPr>
          <w:rFonts w:ascii="Verdana" w:hAnsi="Verdana"/>
        </w:rPr>
        <w:t>turning commitment into reality:</w:t>
      </w:r>
    </w:p>
    <w:p w14:paraId="04C017AE" w14:textId="6283ECD0" w:rsidR="001B2288" w:rsidRDefault="00F13662" w:rsidP="001B2288">
      <w:pPr>
        <w:pStyle w:val="ListParagraph"/>
        <w:numPr>
          <w:ilvl w:val="1"/>
          <w:numId w:val="22"/>
        </w:numPr>
        <w:rPr>
          <w:rFonts w:ascii="Verdana" w:hAnsi="Verdana"/>
        </w:rPr>
      </w:pPr>
      <w:r w:rsidRPr="00F43F87">
        <w:rPr>
          <w:rFonts w:ascii="Verdana" w:hAnsi="Verdana"/>
        </w:rPr>
        <w:t>the administrative and organisational structures through which to achieve deinstitutionalisation, and coordination between them.</w:t>
      </w:r>
    </w:p>
    <w:p w14:paraId="316749B8" w14:textId="77777777" w:rsidR="001B2288" w:rsidRPr="001B2288" w:rsidRDefault="001B2288" w:rsidP="001B2288">
      <w:pPr>
        <w:pStyle w:val="ListParagraph"/>
        <w:ind w:left="1440"/>
        <w:rPr>
          <w:rFonts w:ascii="Verdana" w:hAnsi="Verdana"/>
        </w:rPr>
      </w:pPr>
    </w:p>
    <w:p w14:paraId="1AED7EE5" w14:textId="394114FE" w:rsidR="00F13662" w:rsidRPr="00F43F87" w:rsidRDefault="00F13662" w:rsidP="002C3ACE">
      <w:pPr>
        <w:rPr>
          <w:rFonts w:ascii="Verdana" w:hAnsi="Verdana"/>
        </w:rPr>
      </w:pPr>
      <w:r w:rsidRPr="00F43F87">
        <w:rPr>
          <w:rFonts w:ascii="Verdana" w:hAnsi="Verdana"/>
        </w:rPr>
        <w:t xml:space="preserve">Together, these issues give an overview of the legal and policy framework that will implement deinstitutionalisation in the </w:t>
      </w:r>
      <w:r w:rsidR="0031362B" w:rsidRPr="00F43F87">
        <w:rPr>
          <w:rFonts w:ascii="Verdana" w:hAnsi="Verdana"/>
        </w:rPr>
        <w:t>EU </w:t>
      </w:r>
      <w:r w:rsidRPr="00F43F87">
        <w:rPr>
          <w:rFonts w:ascii="Verdana" w:hAnsi="Verdana"/>
        </w:rPr>
        <w:t>Member States.</w:t>
      </w:r>
    </w:p>
    <w:p w14:paraId="79817CFF" w14:textId="58AB3A55" w:rsidR="00AE3711" w:rsidRPr="00F43F87" w:rsidRDefault="00F13662" w:rsidP="002C3ACE">
      <w:pPr>
        <w:rPr>
          <w:rFonts w:ascii="Verdana" w:hAnsi="Verdana"/>
        </w:rPr>
      </w:pPr>
      <w:r w:rsidRPr="00F43F87">
        <w:rPr>
          <w:rFonts w:ascii="Verdana" w:hAnsi="Verdana"/>
        </w:rPr>
        <w:t xml:space="preserve">Putting in place political commitments and implementation structures is just one element of achieving deinstitutionalisation. To get a fuller picture of the current situation in the EU, this report can be read alongside the FRA human rights indicators on Article 19 of the CRPD. </w:t>
      </w:r>
      <w:r w:rsidR="00AE3711" w:rsidRPr="00F43F87">
        <w:rPr>
          <w:rFonts w:ascii="Verdana" w:hAnsi="Verdana"/>
        </w:rPr>
        <w:t xml:space="preserve">These broadly correspond to the three main elements of the OHCHR indicator framework, which </w:t>
      </w:r>
      <w:r w:rsidR="00CD5DF9" w:rsidRPr="00F43F87">
        <w:rPr>
          <w:rFonts w:ascii="Verdana" w:hAnsi="Verdana"/>
        </w:rPr>
        <w:t xml:space="preserve">is </w:t>
      </w:r>
      <w:r w:rsidR="00AE3711" w:rsidRPr="00F43F87">
        <w:rPr>
          <w:rFonts w:ascii="Verdana" w:hAnsi="Verdana"/>
        </w:rPr>
        <w:t>based on three clusters:</w:t>
      </w:r>
    </w:p>
    <w:p w14:paraId="2EBBC81D" w14:textId="63E29C88" w:rsidR="00E46431" w:rsidRDefault="00AE3711" w:rsidP="001B2288">
      <w:pPr>
        <w:pStyle w:val="ListParagraph"/>
        <w:numPr>
          <w:ilvl w:val="0"/>
          <w:numId w:val="43"/>
        </w:numPr>
        <w:rPr>
          <w:rFonts w:ascii="Verdana" w:hAnsi="Verdana"/>
        </w:rPr>
      </w:pPr>
      <w:r w:rsidRPr="00F43F87">
        <w:rPr>
          <w:rFonts w:ascii="Verdana" w:hAnsi="Verdana"/>
        </w:rPr>
        <w:t>structu</w:t>
      </w:r>
      <w:r w:rsidR="004065D1" w:rsidRPr="00F43F87">
        <w:rPr>
          <w:rFonts w:ascii="Verdana" w:hAnsi="Verdana"/>
        </w:rPr>
        <w:t>ral indicators focusing on the s</w:t>
      </w:r>
      <w:r w:rsidRPr="00F43F87">
        <w:rPr>
          <w:rFonts w:ascii="Verdana" w:hAnsi="Verdana"/>
        </w:rPr>
        <w:t xml:space="preserve">tate’s acceptance and commitment to specific human rights obligations; </w:t>
      </w:r>
    </w:p>
    <w:p w14:paraId="0D581374" w14:textId="77777777" w:rsidR="004D7E8E" w:rsidRPr="001B2288" w:rsidRDefault="004D7E8E" w:rsidP="004D7E8E">
      <w:pPr>
        <w:pStyle w:val="ListParagraph"/>
        <w:rPr>
          <w:rFonts w:ascii="Verdana" w:hAnsi="Verdana"/>
        </w:rPr>
      </w:pPr>
    </w:p>
    <w:p w14:paraId="0F087C53" w14:textId="79B92BB1" w:rsidR="001B2288" w:rsidRDefault="004065D1" w:rsidP="001B2288">
      <w:pPr>
        <w:pStyle w:val="ListParagraph"/>
        <w:numPr>
          <w:ilvl w:val="0"/>
          <w:numId w:val="43"/>
        </w:numPr>
        <w:rPr>
          <w:rFonts w:ascii="Verdana" w:hAnsi="Verdana"/>
        </w:rPr>
      </w:pPr>
      <w:r w:rsidRPr="00F43F87">
        <w:rPr>
          <w:rFonts w:ascii="Verdana" w:hAnsi="Verdana"/>
        </w:rPr>
        <w:t>process indicators on the s</w:t>
      </w:r>
      <w:r w:rsidR="00AE3711" w:rsidRPr="00F43F87">
        <w:rPr>
          <w:rFonts w:ascii="Verdana" w:hAnsi="Verdana"/>
        </w:rPr>
        <w:t>tate’s efforts to transform commitments into desired results;</w:t>
      </w:r>
    </w:p>
    <w:p w14:paraId="161F3969" w14:textId="450DC992" w:rsidR="004D7E8E" w:rsidRPr="004D7E8E" w:rsidRDefault="004D7E8E" w:rsidP="004D7E8E">
      <w:pPr>
        <w:pStyle w:val="ListParagraph"/>
        <w:rPr>
          <w:rFonts w:ascii="Verdana" w:hAnsi="Verdana"/>
        </w:rPr>
      </w:pPr>
    </w:p>
    <w:p w14:paraId="5345B8CB" w14:textId="294FEB88" w:rsidR="00AE3711" w:rsidRDefault="00AE3711" w:rsidP="002C3ACE">
      <w:pPr>
        <w:pStyle w:val="ListParagraph"/>
        <w:numPr>
          <w:ilvl w:val="0"/>
          <w:numId w:val="43"/>
        </w:numPr>
        <w:rPr>
          <w:rFonts w:ascii="Verdana" w:hAnsi="Verdana"/>
        </w:rPr>
      </w:pPr>
      <w:r w:rsidRPr="00F43F87">
        <w:rPr>
          <w:rFonts w:ascii="Verdana" w:hAnsi="Verdana"/>
        </w:rPr>
        <w:t>outcome indicators measuring the results of these commitments and efforts on individuals’ human rights situation.</w:t>
      </w:r>
    </w:p>
    <w:p w14:paraId="67E9D024" w14:textId="77777777" w:rsidR="00E46431" w:rsidRPr="00F43F87" w:rsidRDefault="00E46431" w:rsidP="00E46431">
      <w:pPr>
        <w:pStyle w:val="ListParagraph"/>
        <w:rPr>
          <w:rFonts w:ascii="Verdana" w:hAnsi="Verdana"/>
        </w:rPr>
      </w:pPr>
    </w:p>
    <w:p w14:paraId="4C3C54DF" w14:textId="74FC9B02" w:rsidR="00F13662" w:rsidRPr="00F43F87" w:rsidRDefault="004065D1" w:rsidP="002C3ACE">
      <w:pPr>
        <w:rPr>
          <w:rFonts w:ascii="Verdana" w:hAnsi="Verdana"/>
        </w:rPr>
      </w:pPr>
      <w:r w:rsidRPr="00F43F87">
        <w:rPr>
          <w:rFonts w:ascii="Verdana" w:hAnsi="Verdana"/>
        </w:rPr>
        <w:t xml:space="preserve">This report </w:t>
      </w:r>
      <w:r w:rsidR="00F13662" w:rsidRPr="00F43F87">
        <w:rPr>
          <w:rFonts w:ascii="Verdana" w:hAnsi="Verdana"/>
        </w:rPr>
        <w:t>also goes with the two complementary reports in this series (see box).</w:t>
      </w:r>
      <w:r w:rsidR="00F13662" w:rsidRPr="00F43F87">
        <w:rPr>
          <w:rStyle w:val="EndnoteReference"/>
          <w:rFonts w:ascii="Verdana" w:hAnsi="Verdana"/>
        </w:rPr>
        <w:endnoteReference w:id="6"/>
      </w:r>
    </w:p>
    <w:p w14:paraId="2979AE8E" w14:textId="33A0E164" w:rsidR="00F13662" w:rsidRPr="00F43F87" w:rsidRDefault="00F13662" w:rsidP="002C3ACE">
      <w:pPr>
        <w:rPr>
          <w:rFonts w:ascii="Verdana" w:hAnsi="Verdana"/>
          <w:b/>
          <w:highlight w:val="yellow"/>
          <w:lang w:val="en-IE"/>
        </w:rPr>
      </w:pPr>
      <w:r w:rsidRPr="00F43F87">
        <w:rPr>
          <w:rFonts w:ascii="Verdana" w:hAnsi="Verdana"/>
        </w:rPr>
        <w:t>For more information on other elements of FRA’s project on the right to live independently and be included in the community, see the Annex.</w:t>
      </w:r>
    </w:p>
    <w:tbl>
      <w:tblPr>
        <w:tblStyle w:val="TableGrid"/>
        <w:tblW w:w="0" w:type="auto"/>
        <w:shd w:val="clear" w:color="auto" w:fill="00ABB4"/>
        <w:tblLook w:val="04A0" w:firstRow="1" w:lastRow="0" w:firstColumn="1" w:lastColumn="0" w:noHBand="0" w:noVBand="1"/>
      </w:tblPr>
      <w:tblGrid>
        <w:gridCol w:w="9016"/>
      </w:tblGrid>
      <w:tr w:rsidR="00F13662" w:rsidRPr="00F43F87" w14:paraId="3FB4FB4C" w14:textId="77777777" w:rsidTr="00855292">
        <w:trPr>
          <w:trHeight w:val="4805"/>
        </w:trPr>
        <w:tc>
          <w:tcPr>
            <w:tcW w:w="9016" w:type="dxa"/>
            <w:shd w:val="clear" w:color="auto" w:fill="auto"/>
          </w:tcPr>
          <w:p w14:paraId="0163A43B" w14:textId="38D78CA9" w:rsidR="0051310B" w:rsidRPr="00756D32" w:rsidRDefault="0051310B" w:rsidP="00756D32">
            <w:pPr>
              <w:autoSpaceDE w:val="0"/>
              <w:autoSpaceDN w:val="0"/>
              <w:adjustRightInd w:val="0"/>
              <w:spacing w:before="120"/>
              <w:rPr>
                <w:rFonts w:ascii="Verdana" w:hAnsi="Verdana" w:cs="Segoe UI"/>
                <w:b/>
                <w:color w:val="00565B"/>
                <w:sz w:val="24"/>
              </w:rPr>
            </w:pPr>
            <w:r w:rsidRPr="00756D32">
              <w:rPr>
                <w:rFonts w:ascii="Verdana" w:hAnsi="Verdana" w:cs="Segoe UI"/>
                <w:b/>
                <w:color w:val="00565B"/>
                <w:sz w:val="24"/>
              </w:rPr>
              <w:lastRenderedPageBreak/>
              <w:t xml:space="preserve">From institutions to community living: FRA reports on Article 19 </w:t>
            </w:r>
            <w:r w:rsidR="00BF3A5B" w:rsidRPr="00756D32">
              <w:rPr>
                <w:rFonts w:ascii="Verdana" w:hAnsi="Verdana" w:cs="Segoe UI"/>
                <w:b/>
                <w:color w:val="00565B"/>
                <w:sz w:val="24"/>
              </w:rPr>
              <w:br/>
            </w:r>
            <w:r w:rsidRPr="00756D32">
              <w:rPr>
                <w:rFonts w:ascii="Verdana" w:hAnsi="Verdana" w:cs="Segoe UI"/>
                <w:b/>
                <w:color w:val="00565B"/>
                <w:sz w:val="24"/>
              </w:rPr>
              <w:t>of the CRPD</w:t>
            </w:r>
          </w:p>
          <w:p w14:paraId="241CCCD4" w14:textId="77777777" w:rsidR="00E46431" w:rsidRPr="001059F0" w:rsidRDefault="00E46431" w:rsidP="0051310B">
            <w:pPr>
              <w:autoSpaceDE w:val="0"/>
              <w:autoSpaceDN w:val="0"/>
              <w:adjustRightInd w:val="0"/>
              <w:rPr>
                <w:rFonts w:ascii="Verdana" w:hAnsi="Verdana" w:cs="Segoe UI"/>
                <w:color w:val="00565B"/>
              </w:rPr>
            </w:pPr>
          </w:p>
          <w:p w14:paraId="7F43E45A" w14:textId="1C1C4EE3" w:rsidR="00E46431" w:rsidRDefault="00F13662" w:rsidP="002C3ACE">
            <w:pPr>
              <w:rPr>
                <w:rFonts w:ascii="Verdana" w:hAnsi="Verdana"/>
              </w:rPr>
            </w:pPr>
            <w:r w:rsidRPr="00F43F87">
              <w:rPr>
                <w:rFonts w:ascii="Verdana" w:hAnsi="Verdana"/>
              </w:rPr>
              <w:t xml:space="preserve">This report is one of a series of three reports looking at different aspects of deinstitutionalisation and independent living for persons with disabilities. They complement FRA’s human rights indicators on Article 19 of the </w:t>
            </w:r>
            <w:r w:rsidR="0031362B" w:rsidRPr="00F43F87">
              <w:rPr>
                <w:rFonts w:ascii="Verdana" w:hAnsi="Verdana"/>
              </w:rPr>
              <w:t>CRPD </w:t>
            </w:r>
            <w:r w:rsidRPr="00F43F87">
              <w:rPr>
                <w:rFonts w:ascii="Verdana" w:hAnsi="Verdana"/>
              </w:rPr>
              <w:t>by highlighting cross-cutting issues emerging from the data that FRA collected and analysed:</w:t>
            </w:r>
          </w:p>
          <w:p w14:paraId="49DF71C4" w14:textId="77777777" w:rsidR="00E46431" w:rsidRPr="00F43F87" w:rsidRDefault="00E46431" w:rsidP="002C3ACE">
            <w:pPr>
              <w:rPr>
                <w:rFonts w:ascii="Verdana" w:hAnsi="Verdana"/>
              </w:rPr>
            </w:pPr>
          </w:p>
          <w:p w14:paraId="5AB6624D" w14:textId="764B8A29" w:rsidR="00F13662" w:rsidRPr="00F43F87" w:rsidRDefault="00E564C6" w:rsidP="002C3ACE">
            <w:pPr>
              <w:pStyle w:val="ListParagraph"/>
              <w:numPr>
                <w:ilvl w:val="0"/>
                <w:numId w:val="41"/>
              </w:numPr>
              <w:rPr>
                <w:rFonts w:ascii="Verdana" w:hAnsi="Verdana"/>
              </w:rPr>
            </w:pPr>
            <w:r w:rsidRPr="00F43F87">
              <w:rPr>
                <w:rFonts w:ascii="Verdana" w:hAnsi="Verdana"/>
                <w:b/>
              </w:rPr>
              <w:t>Part I: c</w:t>
            </w:r>
            <w:r w:rsidR="00F13662" w:rsidRPr="00F43F87">
              <w:rPr>
                <w:rFonts w:ascii="Verdana" w:hAnsi="Verdana"/>
                <w:b/>
              </w:rPr>
              <w:t xml:space="preserve">ommitments and structures: </w:t>
            </w:r>
            <w:r w:rsidR="00F13662" w:rsidRPr="00F43F87">
              <w:rPr>
                <w:rFonts w:ascii="Verdana" w:hAnsi="Verdana"/>
              </w:rPr>
              <w:t xml:space="preserve">this first report highlights the obligations the </w:t>
            </w:r>
            <w:r w:rsidR="0031362B" w:rsidRPr="00F43F87">
              <w:rPr>
                <w:rFonts w:ascii="Verdana" w:hAnsi="Verdana"/>
              </w:rPr>
              <w:t>EU </w:t>
            </w:r>
            <w:r w:rsidR="00F13662" w:rsidRPr="00F43F87">
              <w:rPr>
                <w:rFonts w:ascii="Verdana" w:hAnsi="Verdana"/>
              </w:rPr>
              <w:t>and its Member States have committed to fulfil.</w:t>
            </w:r>
          </w:p>
          <w:p w14:paraId="21E5FDBD" w14:textId="394FED0B" w:rsidR="00F13662" w:rsidRPr="00F43F87" w:rsidRDefault="00E564C6" w:rsidP="002C3ACE">
            <w:pPr>
              <w:pStyle w:val="ListParagraph"/>
              <w:numPr>
                <w:ilvl w:val="0"/>
                <w:numId w:val="41"/>
              </w:numPr>
              <w:rPr>
                <w:rFonts w:ascii="Verdana" w:hAnsi="Verdana"/>
              </w:rPr>
            </w:pPr>
            <w:r w:rsidRPr="00F43F87">
              <w:rPr>
                <w:rFonts w:ascii="Verdana" w:hAnsi="Verdana"/>
                <w:b/>
              </w:rPr>
              <w:t>Part II: f</w:t>
            </w:r>
            <w:r w:rsidR="00F13662" w:rsidRPr="00F43F87">
              <w:rPr>
                <w:rFonts w:ascii="Verdana" w:hAnsi="Verdana"/>
                <w:b/>
              </w:rPr>
              <w:t xml:space="preserve">unding and budgeting: </w:t>
            </w:r>
            <w:r w:rsidR="00F13662" w:rsidRPr="00F43F87">
              <w:rPr>
                <w:rFonts w:ascii="Verdana" w:hAnsi="Verdana"/>
              </w:rPr>
              <w:t xml:space="preserve">the </w:t>
            </w:r>
            <w:hyperlink r:id="rId12" w:history="1">
              <w:r w:rsidR="00F13662" w:rsidRPr="00F43F87">
                <w:rPr>
                  <w:rStyle w:val="Hyperlink"/>
                  <w:rFonts w:ascii="Verdana" w:hAnsi="Verdana"/>
                </w:rPr>
                <w:t>second report</w:t>
              </w:r>
            </w:hyperlink>
            <w:r w:rsidR="00F13662" w:rsidRPr="00F43F87">
              <w:rPr>
                <w:rFonts w:ascii="Verdana" w:hAnsi="Verdana"/>
              </w:rPr>
              <w:t xml:space="preserve"> looks at how funding and budgeting structures can work to turn these commitments into reality.</w:t>
            </w:r>
          </w:p>
          <w:p w14:paraId="0F44065E" w14:textId="761A35A7" w:rsidR="00F13662" w:rsidRPr="00F43F87" w:rsidRDefault="00E564C6" w:rsidP="00756D32">
            <w:pPr>
              <w:pStyle w:val="ListParagraph"/>
              <w:numPr>
                <w:ilvl w:val="0"/>
                <w:numId w:val="41"/>
              </w:numPr>
              <w:spacing w:after="240"/>
              <w:ind w:left="714" w:hanging="357"/>
              <w:rPr>
                <w:rFonts w:ascii="Verdana" w:hAnsi="Verdana"/>
              </w:rPr>
            </w:pPr>
            <w:r w:rsidRPr="00F43F87">
              <w:rPr>
                <w:rFonts w:ascii="Verdana" w:hAnsi="Verdana"/>
                <w:b/>
              </w:rPr>
              <w:t>Part III: o</w:t>
            </w:r>
            <w:r w:rsidR="00F13662" w:rsidRPr="00F43F87">
              <w:rPr>
                <w:rFonts w:ascii="Verdana" w:hAnsi="Verdana"/>
                <w:b/>
              </w:rPr>
              <w:t xml:space="preserve">utcomes for persons with disabilities: </w:t>
            </w:r>
            <w:r w:rsidR="00F13662" w:rsidRPr="00F43F87">
              <w:rPr>
                <w:rFonts w:ascii="Verdana" w:hAnsi="Verdana"/>
              </w:rPr>
              <w:t xml:space="preserve">the </w:t>
            </w:r>
            <w:hyperlink r:id="rId13" w:history="1">
              <w:r w:rsidR="00F13662" w:rsidRPr="00F43F87">
                <w:rPr>
                  <w:rStyle w:val="Hyperlink"/>
                  <w:rFonts w:ascii="Verdana" w:hAnsi="Verdana"/>
                </w:rPr>
                <w:t>third report</w:t>
              </w:r>
            </w:hyperlink>
            <w:r w:rsidR="00F13662" w:rsidRPr="00F43F87">
              <w:rPr>
                <w:rFonts w:ascii="Verdana" w:hAnsi="Verdana"/>
              </w:rPr>
              <w:t xml:space="preserve"> completes the series by focusing on the impact these commitments and funds are having on </w:t>
            </w:r>
            <w:r w:rsidR="009804A9">
              <w:rPr>
                <w:rFonts w:ascii="Verdana" w:hAnsi="Verdana"/>
              </w:rPr>
              <w:t xml:space="preserve">the independence and inclusion </w:t>
            </w:r>
            <w:r w:rsidR="00F13662" w:rsidRPr="00F43F87">
              <w:rPr>
                <w:rFonts w:ascii="Verdana" w:hAnsi="Verdana"/>
              </w:rPr>
              <w:t xml:space="preserve">persons with disabilities experience in their daily lives. </w:t>
            </w:r>
          </w:p>
        </w:tc>
      </w:tr>
    </w:tbl>
    <w:p w14:paraId="6B6BC478" w14:textId="61E315A5" w:rsidR="00F13662" w:rsidRPr="00CA7435" w:rsidRDefault="00F13662" w:rsidP="00F61D76">
      <w:pPr>
        <w:pStyle w:val="Heading1"/>
        <w:rPr>
          <w:szCs w:val="30"/>
        </w:rPr>
      </w:pPr>
      <w:bookmarkStart w:id="7" w:name="_Toc485993644"/>
      <w:bookmarkStart w:id="8" w:name="_Toc485998449"/>
      <w:bookmarkStart w:id="9" w:name="_Toc486941435"/>
      <w:bookmarkStart w:id="10" w:name="_Toc500189294"/>
      <w:r w:rsidRPr="00CA7435">
        <w:rPr>
          <w:szCs w:val="30"/>
        </w:rPr>
        <w:t>Key findings</w:t>
      </w:r>
      <w:bookmarkEnd w:id="7"/>
      <w:bookmarkEnd w:id="8"/>
      <w:bookmarkEnd w:id="9"/>
      <w:r w:rsidRPr="00CA7435">
        <w:rPr>
          <w:szCs w:val="30"/>
        </w:rPr>
        <w:t xml:space="preserve"> and FRA opinions</w:t>
      </w:r>
      <w:bookmarkEnd w:id="10"/>
    </w:p>
    <w:p w14:paraId="11A149DE" w14:textId="3C3D90B3" w:rsidR="00AD6132" w:rsidRPr="00F43F87" w:rsidRDefault="00AD6132" w:rsidP="002C3ACE">
      <w:pPr>
        <w:rPr>
          <w:rFonts w:ascii="Verdana" w:hAnsi="Verdana"/>
        </w:rPr>
      </w:pPr>
      <w:r w:rsidRPr="00F43F87">
        <w:rPr>
          <w:rFonts w:ascii="Verdana" w:hAnsi="Verdana"/>
        </w:rPr>
        <w:t xml:space="preserve">The </w:t>
      </w:r>
      <w:r w:rsidR="005C332F" w:rsidRPr="00F43F87">
        <w:rPr>
          <w:rFonts w:ascii="Verdana" w:hAnsi="Verdana"/>
        </w:rPr>
        <w:t xml:space="preserve">FRA </w:t>
      </w:r>
      <w:r w:rsidRPr="00F43F87">
        <w:rPr>
          <w:rFonts w:ascii="Verdana" w:hAnsi="Verdana"/>
        </w:rPr>
        <w:t xml:space="preserve">opinions outlined below </w:t>
      </w:r>
      <w:r w:rsidR="005C332F" w:rsidRPr="00F43F87">
        <w:rPr>
          <w:rFonts w:ascii="Verdana" w:hAnsi="Verdana"/>
        </w:rPr>
        <w:t>build</w:t>
      </w:r>
      <w:r w:rsidRPr="00F43F87">
        <w:rPr>
          <w:rFonts w:ascii="Verdana" w:hAnsi="Verdana"/>
        </w:rPr>
        <w:t xml:space="preserve"> on the following key findings:</w:t>
      </w:r>
    </w:p>
    <w:p w14:paraId="10EAC119" w14:textId="680CBDF0" w:rsidR="00D3783A" w:rsidRPr="00D3783A" w:rsidRDefault="00F13662" w:rsidP="00D3783A">
      <w:pPr>
        <w:pStyle w:val="ListParagraph"/>
        <w:numPr>
          <w:ilvl w:val="0"/>
          <w:numId w:val="45"/>
        </w:numPr>
        <w:rPr>
          <w:rFonts w:ascii="Verdana" w:hAnsi="Verdana"/>
        </w:rPr>
      </w:pPr>
      <w:r w:rsidRPr="00F43F87">
        <w:rPr>
          <w:rFonts w:ascii="Verdana" w:hAnsi="Verdana"/>
        </w:rPr>
        <w:t xml:space="preserve">By ratifying the CRPD, the </w:t>
      </w:r>
      <w:r w:rsidR="0031362B" w:rsidRPr="00F43F87">
        <w:rPr>
          <w:rFonts w:ascii="Verdana" w:hAnsi="Verdana"/>
        </w:rPr>
        <w:t>EU </w:t>
      </w:r>
      <w:r w:rsidRPr="00F43F87">
        <w:rPr>
          <w:rFonts w:ascii="Verdana" w:hAnsi="Verdana"/>
        </w:rPr>
        <w:t>and 27 of its Member States have committed to realising the right of persons with disabilities to live independently and be included in the community, including through deinstitutionalisation. Ireland has signed but not yet ratified the CRPD.</w:t>
      </w:r>
    </w:p>
    <w:p w14:paraId="42A0289E" w14:textId="09CA4561" w:rsidR="00D3783A" w:rsidRPr="00D3783A" w:rsidRDefault="00F13662" w:rsidP="00D3783A">
      <w:pPr>
        <w:pStyle w:val="ListParagraph"/>
        <w:numPr>
          <w:ilvl w:val="0"/>
          <w:numId w:val="45"/>
        </w:numPr>
        <w:rPr>
          <w:rFonts w:ascii="Verdana" w:hAnsi="Verdana"/>
        </w:rPr>
      </w:pPr>
      <w:r w:rsidRPr="00F43F87">
        <w:rPr>
          <w:rFonts w:ascii="Verdana" w:hAnsi="Verdana"/>
        </w:rPr>
        <w:t xml:space="preserve">The </w:t>
      </w:r>
      <w:r w:rsidR="0031362B" w:rsidRPr="00F43F87">
        <w:rPr>
          <w:rFonts w:ascii="Verdana" w:hAnsi="Verdana"/>
        </w:rPr>
        <w:t>EU </w:t>
      </w:r>
      <w:r w:rsidRPr="00F43F87">
        <w:rPr>
          <w:rFonts w:ascii="Verdana" w:hAnsi="Verdana"/>
        </w:rPr>
        <w:t>has strengthened its role in supporting deinstitutionalisation by requiring that the European Structural and Investment Funds (ESIF) support the transition from institutional to community-based suppor</w:t>
      </w:r>
      <w:r w:rsidR="00E46431">
        <w:rPr>
          <w:rFonts w:ascii="Verdana" w:hAnsi="Verdana"/>
        </w:rPr>
        <w:t>t for persons with disabilities.</w:t>
      </w:r>
    </w:p>
    <w:p w14:paraId="38E95B24" w14:textId="45B8810C" w:rsidR="00D3783A" w:rsidRPr="00D3783A" w:rsidRDefault="00F13662" w:rsidP="00D3783A">
      <w:pPr>
        <w:pStyle w:val="ListParagraph"/>
        <w:numPr>
          <w:ilvl w:val="0"/>
          <w:numId w:val="45"/>
        </w:numPr>
        <w:rPr>
          <w:rFonts w:ascii="Verdana" w:hAnsi="Verdana"/>
        </w:rPr>
      </w:pPr>
      <w:r w:rsidRPr="00F43F87">
        <w:rPr>
          <w:rFonts w:ascii="Verdana" w:hAnsi="Verdana"/>
        </w:rPr>
        <w:t xml:space="preserve">Most </w:t>
      </w:r>
      <w:r w:rsidR="0031362B" w:rsidRPr="00F43F87">
        <w:rPr>
          <w:rFonts w:ascii="Verdana" w:hAnsi="Verdana"/>
        </w:rPr>
        <w:t>EU </w:t>
      </w:r>
      <w:r w:rsidRPr="00F43F87">
        <w:rPr>
          <w:rFonts w:ascii="Verdana" w:hAnsi="Verdana"/>
        </w:rPr>
        <w:t>Member States have adopted strategies that cover deinstitutionalisation. However, some strategies lack the adequate funding, clear timeframes and benchmarks, and involvement of disabled persons’ organisations required to make them effective.</w:t>
      </w:r>
    </w:p>
    <w:p w14:paraId="5492A5BE" w14:textId="1942A928" w:rsidR="00D3783A" w:rsidRPr="00D3783A" w:rsidRDefault="00F13662" w:rsidP="00D3783A">
      <w:pPr>
        <w:pStyle w:val="ListParagraph"/>
        <w:numPr>
          <w:ilvl w:val="0"/>
          <w:numId w:val="45"/>
        </w:numPr>
        <w:rPr>
          <w:rFonts w:ascii="Verdana" w:hAnsi="Verdana"/>
        </w:rPr>
      </w:pPr>
      <w:r w:rsidRPr="00F43F87">
        <w:rPr>
          <w:rFonts w:ascii="Verdana" w:hAnsi="Verdana"/>
        </w:rPr>
        <w:t xml:space="preserve">Few </w:t>
      </w:r>
      <w:r w:rsidR="0031362B" w:rsidRPr="00F43F87">
        <w:rPr>
          <w:rFonts w:ascii="Verdana" w:hAnsi="Verdana"/>
        </w:rPr>
        <w:t>EU </w:t>
      </w:r>
      <w:r w:rsidRPr="00F43F87">
        <w:rPr>
          <w:rFonts w:ascii="Verdana" w:hAnsi="Verdana"/>
        </w:rPr>
        <w:t>Member States have expressly committed to not building new institutions or to stopping new admiss</w:t>
      </w:r>
      <w:r w:rsidR="00E46431">
        <w:rPr>
          <w:rFonts w:ascii="Verdana" w:hAnsi="Verdana"/>
        </w:rPr>
        <w:t>ions into existing institutions.</w:t>
      </w:r>
    </w:p>
    <w:p w14:paraId="383145E6" w14:textId="120DE059" w:rsidR="00D3783A" w:rsidRPr="00D3783A" w:rsidRDefault="00F13662" w:rsidP="00D3783A">
      <w:pPr>
        <w:pStyle w:val="ListParagraph"/>
        <w:numPr>
          <w:ilvl w:val="0"/>
          <w:numId w:val="45"/>
        </w:numPr>
        <w:rPr>
          <w:rFonts w:ascii="Verdana" w:hAnsi="Verdana"/>
        </w:rPr>
      </w:pPr>
      <w:r w:rsidRPr="00F43F87">
        <w:rPr>
          <w:rFonts w:ascii="Verdana" w:hAnsi="Verdana"/>
        </w:rPr>
        <w:t xml:space="preserve">There is wide variety in how </w:t>
      </w:r>
      <w:r w:rsidR="0031362B" w:rsidRPr="00F43F87">
        <w:rPr>
          <w:rFonts w:ascii="Verdana" w:hAnsi="Verdana"/>
        </w:rPr>
        <w:t>EU </w:t>
      </w:r>
      <w:r w:rsidRPr="00F43F87">
        <w:rPr>
          <w:rFonts w:ascii="Verdana" w:hAnsi="Verdana"/>
        </w:rPr>
        <w:t>Member States organise deinstitutionalisation. Responsibility for community-based services rests with national authorities in some Member States, regional authorities in others, and a mixture of regional and national authorities in a final group.</w:t>
      </w:r>
    </w:p>
    <w:p w14:paraId="59072F9F" w14:textId="6A2A0379" w:rsidR="00F13662" w:rsidRPr="00F43F87" w:rsidRDefault="00F13662" w:rsidP="002C3ACE">
      <w:pPr>
        <w:pStyle w:val="ListParagraph"/>
        <w:numPr>
          <w:ilvl w:val="0"/>
          <w:numId w:val="45"/>
        </w:numPr>
        <w:rPr>
          <w:rFonts w:ascii="Verdana" w:hAnsi="Verdana"/>
        </w:rPr>
      </w:pPr>
      <w:r w:rsidRPr="00F43F87">
        <w:rPr>
          <w:rFonts w:ascii="Verdana" w:hAnsi="Verdana"/>
        </w:rPr>
        <w:t>Coordinating the different levels and sectors of government involved in deinstitutionalisation presents a major challenge. In particular, relatively few Member States have set up modes of cooperation between the different sectors involved in the process.</w:t>
      </w:r>
    </w:p>
    <w:p w14:paraId="75FF05BC" w14:textId="13FC81AB" w:rsidR="00F13662" w:rsidRPr="00F43F87" w:rsidRDefault="00F13662" w:rsidP="002C3ACE">
      <w:pPr>
        <w:rPr>
          <w:rFonts w:ascii="Verdana" w:hAnsi="Verdana"/>
        </w:rPr>
      </w:pPr>
    </w:p>
    <w:p w14:paraId="3DFE7EC8" w14:textId="1C2FF1EA" w:rsidR="00F13662" w:rsidRPr="00F43F87" w:rsidRDefault="00F13662" w:rsidP="002C3ACE">
      <w:pPr>
        <w:rPr>
          <w:rFonts w:ascii="Verdana" w:hAnsi="Verdana"/>
        </w:rPr>
      </w:pPr>
      <w:r w:rsidRPr="00F43F87">
        <w:rPr>
          <w:rFonts w:ascii="Verdana" w:hAnsi="Verdana"/>
        </w:rPr>
        <w:t xml:space="preserve">Realising the right of persons with disabilities to live independently and be included in the community requires implementing meaningful and sustainable deinstitutionalisation. FRA evidence shows that one crucial starting point is a </w:t>
      </w:r>
      <w:r w:rsidRPr="00F43F87">
        <w:rPr>
          <w:rFonts w:ascii="Verdana" w:hAnsi="Verdana"/>
        </w:rPr>
        <w:lastRenderedPageBreak/>
        <w:t>strategy on or covering deinstitutionalisation. Previous FRA opinions call for disabled persons’ organisations to be closely involved in developing such policies.</w:t>
      </w:r>
      <w:r w:rsidRPr="00F43F87">
        <w:rPr>
          <w:rStyle w:val="EndnoteReference"/>
          <w:rFonts w:ascii="Verdana" w:hAnsi="Verdana"/>
        </w:rPr>
        <w:endnoteReference w:id="7"/>
      </w:r>
      <w:r w:rsidRPr="00F43F87">
        <w:rPr>
          <w:rFonts w:ascii="Verdana" w:hAnsi="Verdan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F13662" w:rsidRPr="00F43F87" w14:paraId="1BFB3071" w14:textId="77777777" w:rsidTr="00AA144D">
        <w:trPr>
          <w:cantSplit/>
        </w:trPr>
        <w:tc>
          <w:tcPr>
            <w:tcW w:w="0" w:type="auto"/>
            <w:shd w:val="clear" w:color="auto" w:fill="auto"/>
          </w:tcPr>
          <w:p w14:paraId="70231B69" w14:textId="74E2E7A4" w:rsidR="00E46431" w:rsidRDefault="00F13662" w:rsidP="00F16131">
            <w:pPr>
              <w:spacing w:after="120"/>
              <w:rPr>
                <w:rFonts w:ascii="Verdana" w:hAnsi="Verdana"/>
                <w:b/>
                <w:color w:val="00565B"/>
                <w:lang w:val="en-GB"/>
              </w:rPr>
            </w:pPr>
            <w:r w:rsidRPr="00E46431">
              <w:rPr>
                <w:rFonts w:ascii="Verdana" w:hAnsi="Verdana"/>
                <w:b/>
                <w:color w:val="00565B"/>
                <w:lang w:val="en-GB"/>
              </w:rPr>
              <w:t xml:space="preserve">FRA </w:t>
            </w:r>
            <w:r w:rsidR="00E46431" w:rsidRPr="00E46431">
              <w:rPr>
                <w:rFonts w:ascii="Verdana" w:hAnsi="Verdana"/>
                <w:b/>
                <w:color w:val="00565B"/>
                <w:lang w:val="en-GB"/>
              </w:rPr>
              <w:t>O</w:t>
            </w:r>
            <w:r w:rsidRPr="00E46431">
              <w:rPr>
                <w:rFonts w:ascii="Verdana" w:hAnsi="Verdana"/>
                <w:b/>
                <w:color w:val="00565B"/>
                <w:lang w:val="en-GB"/>
              </w:rPr>
              <w:t>pinion 1</w:t>
            </w:r>
          </w:p>
          <w:p w14:paraId="397B4D1A" w14:textId="0FC47901" w:rsidR="005127EE" w:rsidRPr="00E46431" w:rsidRDefault="00F13662" w:rsidP="00F16131">
            <w:pPr>
              <w:spacing w:after="120"/>
              <w:rPr>
                <w:rFonts w:ascii="Verdana" w:hAnsi="Verdana"/>
                <w:i/>
                <w:lang w:val="en-GB"/>
              </w:rPr>
            </w:pPr>
            <w:r w:rsidRPr="00E46431">
              <w:rPr>
                <w:rFonts w:ascii="Verdana" w:hAnsi="Verdana"/>
                <w:i/>
                <w:lang w:val="en-GB"/>
              </w:rPr>
              <w:t xml:space="preserve">All </w:t>
            </w:r>
            <w:r w:rsidR="0031362B" w:rsidRPr="00E46431">
              <w:rPr>
                <w:rFonts w:ascii="Verdana" w:hAnsi="Verdana"/>
                <w:i/>
                <w:lang w:val="en-GB"/>
              </w:rPr>
              <w:t>EU </w:t>
            </w:r>
            <w:r w:rsidRPr="00E46431">
              <w:rPr>
                <w:rFonts w:ascii="Verdana" w:hAnsi="Verdana"/>
                <w:i/>
                <w:lang w:val="en-GB"/>
              </w:rPr>
              <w:t>Member States should adopt deinstitutionalisation strategies. These strategies should be evidence based, drawing on a comprehensive needs-based mapping of the status of deinstitutionalisation. They should also have a sufficiently broad scope to cover the different sectors involved in the transition from institutional to community-based support. These include health, employment and housing, in addition to support services for persons with disabilities.</w:t>
            </w:r>
          </w:p>
          <w:p w14:paraId="3E674CD4" w14:textId="63D3FE45" w:rsidR="00F13662" w:rsidRPr="00F43F87" w:rsidRDefault="0031362B" w:rsidP="00F16131">
            <w:pPr>
              <w:spacing w:after="240"/>
              <w:rPr>
                <w:rFonts w:ascii="Verdana" w:hAnsi="Verdana"/>
                <w:lang w:val="en-GB"/>
              </w:rPr>
            </w:pPr>
            <w:r w:rsidRPr="00E46431">
              <w:rPr>
                <w:rFonts w:ascii="Verdana" w:hAnsi="Verdana"/>
                <w:i/>
                <w:lang w:val="en-GB"/>
              </w:rPr>
              <w:t>EU </w:t>
            </w:r>
            <w:r w:rsidR="00F13662" w:rsidRPr="00E46431">
              <w:rPr>
                <w:rFonts w:ascii="Verdana" w:hAnsi="Verdana"/>
                <w:i/>
                <w:lang w:val="en-GB"/>
              </w:rPr>
              <w:t>Member States should ensure that they actively involve persons with disabilities and their representative organisations throughout the design, implementation and evaluation of the strategy.</w:t>
            </w:r>
          </w:p>
        </w:tc>
      </w:tr>
      <w:tr w:rsidR="00F13662" w:rsidRPr="00F43F87" w14:paraId="44A88833" w14:textId="77777777" w:rsidTr="00AA144D">
        <w:trPr>
          <w:cantSplit/>
        </w:trPr>
        <w:tc>
          <w:tcPr>
            <w:tcW w:w="0" w:type="auto"/>
            <w:shd w:val="clear" w:color="auto" w:fill="auto"/>
          </w:tcPr>
          <w:p w14:paraId="18B2F306" w14:textId="34F2193A" w:rsidR="00F13662" w:rsidRDefault="00F13662" w:rsidP="00F16131">
            <w:pPr>
              <w:spacing w:after="120"/>
              <w:rPr>
                <w:rFonts w:ascii="Verdana" w:hAnsi="Verdana"/>
                <w:b/>
                <w:color w:val="00565B"/>
                <w:lang w:val="en-GB"/>
              </w:rPr>
            </w:pPr>
            <w:r w:rsidRPr="00E46431">
              <w:rPr>
                <w:rFonts w:ascii="Verdana" w:hAnsi="Verdana"/>
                <w:b/>
                <w:color w:val="00565B"/>
                <w:lang w:val="en-GB"/>
              </w:rPr>
              <w:t xml:space="preserve">FRA </w:t>
            </w:r>
            <w:r w:rsidR="00E46431" w:rsidRPr="00E46431">
              <w:rPr>
                <w:rFonts w:ascii="Verdana" w:hAnsi="Verdana"/>
                <w:b/>
                <w:color w:val="00565B"/>
                <w:lang w:val="en-GB"/>
              </w:rPr>
              <w:t>O</w:t>
            </w:r>
            <w:r w:rsidRPr="00E46431">
              <w:rPr>
                <w:rFonts w:ascii="Verdana" w:hAnsi="Verdana"/>
                <w:b/>
                <w:color w:val="00565B"/>
                <w:lang w:val="en-GB"/>
              </w:rPr>
              <w:t>pinion 2</w:t>
            </w:r>
          </w:p>
          <w:p w14:paraId="2421EDB2" w14:textId="4A0AB013" w:rsidR="00F13662" w:rsidRPr="00E46431" w:rsidRDefault="0031362B" w:rsidP="00F16131">
            <w:pPr>
              <w:spacing w:after="240"/>
              <w:rPr>
                <w:rFonts w:ascii="Verdana" w:hAnsi="Verdana"/>
                <w:i/>
                <w:lang w:val="en-GB"/>
              </w:rPr>
            </w:pPr>
            <w:r w:rsidRPr="00E46431">
              <w:rPr>
                <w:rFonts w:ascii="Verdana" w:hAnsi="Verdana"/>
                <w:i/>
                <w:lang w:val="en-GB"/>
              </w:rPr>
              <w:t>EU </w:t>
            </w:r>
            <w:r w:rsidR="00F13662" w:rsidRPr="00E46431">
              <w:rPr>
                <w:rFonts w:ascii="Verdana" w:hAnsi="Verdana"/>
                <w:i/>
                <w:lang w:val="en-GB"/>
              </w:rPr>
              <w:t>Member States’ deinstitutionalisation strategies should include specific targets with clear deadlines. Member States should also adequately finance the implementation of these strategies.</w:t>
            </w:r>
          </w:p>
        </w:tc>
      </w:tr>
      <w:tr w:rsidR="00F13662" w:rsidRPr="00F43F87" w14:paraId="4165CA42" w14:textId="77777777" w:rsidTr="00AA144D">
        <w:trPr>
          <w:cantSplit/>
        </w:trPr>
        <w:tc>
          <w:tcPr>
            <w:tcW w:w="0" w:type="auto"/>
            <w:shd w:val="clear" w:color="auto" w:fill="auto"/>
          </w:tcPr>
          <w:p w14:paraId="4AB0622A" w14:textId="66B02318" w:rsidR="00F13662" w:rsidRDefault="00F13662" w:rsidP="00F16131">
            <w:pPr>
              <w:spacing w:after="120"/>
              <w:rPr>
                <w:rFonts w:ascii="Verdana" w:hAnsi="Verdana"/>
                <w:b/>
                <w:color w:val="00565B"/>
                <w:lang w:val="en-GB"/>
              </w:rPr>
            </w:pPr>
            <w:r w:rsidRPr="00E46431">
              <w:rPr>
                <w:rFonts w:ascii="Verdana" w:hAnsi="Verdana"/>
                <w:b/>
                <w:color w:val="00565B"/>
                <w:lang w:val="en-GB"/>
              </w:rPr>
              <w:t xml:space="preserve">FRA </w:t>
            </w:r>
            <w:r w:rsidR="00E46431" w:rsidRPr="00E46431">
              <w:rPr>
                <w:rFonts w:ascii="Verdana" w:hAnsi="Verdana"/>
                <w:b/>
                <w:color w:val="00565B"/>
                <w:lang w:val="en-GB"/>
              </w:rPr>
              <w:t>O</w:t>
            </w:r>
            <w:r w:rsidRPr="00E46431">
              <w:rPr>
                <w:rFonts w:ascii="Verdana" w:hAnsi="Verdana"/>
                <w:b/>
                <w:color w:val="00565B"/>
                <w:lang w:val="en-GB"/>
              </w:rPr>
              <w:t>pinion 3</w:t>
            </w:r>
          </w:p>
          <w:p w14:paraId="0F353C8B" w14:textId="33625B1C" w:rsidR="00F13662" w:rsidRDefault="0031362B" w:rsidP="00F16131">
            <w:pPr>
              <w:spacing w:after="240"/>
              <w:rPr>
                <w:rFonts w:ascii="Verdana" w:hAnsi="Verdana"/>
                <w:i/>
                <w:lang w:val="en-GB"/>
              </w:rPr>
            </w:pPr>
            <w:r w:rsidRPr="00E46431">
              <w:rPr>
                <w:rFonts w:ascii="Verdana" w:hAnsi="Verdana"/>
                <w:i/>
                <w:lang w:val="en-GB"/>
              </w:rPr>
              <w:t>EU </w:t>
            </w:r>
            <w:r w:rsidR="00F13662" w:rsidRPr="00E46431">
              <w:rPr>
                <w:rFonts w:ascii="Verdana" w:hAnsi="Verdana"/>
                <w:i/>
                <w:lang w:val="en-GB"/>
              </w:rPr>
              <w:t>Member States should ensure that independent bodies regularly review the implementation of deinstitutionalisation strategies. Member States should consider developing indicators to track prog</w:t>
            </w:r>
            <w:r w:rsidR="005127EE">
              <w:rPr>
                <w:rFonts w:ascii="Verdana" w:hAnsi="Verdana"/>
                <w:i/>
                <w:lang w:val="en-GB"/>
              </w:rPr>
              <w:t xml:space="preserve">ress during the lifetime of the </w:t>
            </w:r>
            <w:r w:rsidR="00F13662" w:rsidRPr="00E46431">
              <w:rPr>
                <w:rFonts w:ascii="Verdana" w:hAnsi="Verdana"/>
                <w:i/>
                <w:lang w:val="en-GB"/>
              </w:rPr>
              <w:t>strategy to</w:t>
            </w:r>
            <w:r w:rsidR="00F16131">
              <w:rPr>
                <w:rFonts w:ascii="Verdana" w:hAnsi="Verdana"/>
                <w:i/>
                <w:lang w:val="en-GB"/>
              </w:rPr>
              <w:t xml:space="preserve"> highlight implementation gaps.</w:t>
            </w:r>
          </w:p>
          <w:p w14:paraId="6BB2B20F" w14:textId="08604776" w:rsidR="005127EE" w:rsidRPr="00E46431" w:rsidRDefault="005127EE" w:rsidP="002C3ACE">
            <w:pPr>
              <w:rPr>
                <w:rFonts w:ascii="Verdana" w:hAnsi="Verdana"/>
                <w:i/>
                <w:lang w:val="en-GB"/>
              </w:rPr>
            </w:pPr>
          </w:p>
        </w:tc>
      </w:tr>
    </w:tbl>
    <w:p w14:paraId="30EE496D" w14:textId="463A1765" w:rsidR="00F13662" w:rsidRPr="00E46431" w:rsidRDefault="00F13662" w:rsidP="002C3ACE">
      <w:pPr>
        <w:rPr>
          <w:rFonts w:ascii="Verdana" w:hAnsi="Verdana"/>
          <w:i/>
        </w:rPr>
      </w:pPr>
      <w:r w:rsidRPr="005127EE">
        <w:rPr>
          <w:rFonts w:ascii="Verdana" w:hAnsi="Verdana"/>
        </w:rPr>
        <w:t xml:space="preserve">Deinstitutionalisation in the spirit of the </w:t>
      </w:r>
      <w:r w:rsidR="0031362B" w:rsidRPr="005127EE">
        <w:rPr>
          <w:rFonts w:ascii="Verdana" w:hAnsi="Verdana"/>
        </w:rPr>
        <w:t>CRPD </w:t>
      </w:r>
      <w:r w:rsidRPr="005127EE">
        <w:rPr>
          <w:rFonts w:ascii="Verdana" w:hAnsi="Verdana"/>
        </w:rPr>
        <w:t>involves transforming support services for persons with disabilities, so that a range of individualised support in the community is available. This has major implications for the planning and delivery of such services</w:t>
      </w:r>
      <w:r w:rsidRPr="00E46431">
        <w:rPr>
          <w:rFonts w:ascii="Verdana" w:hAnsi="Verdana"/>
          <w:i/>
        </w:rPr>
        <w:t>.</w:t>
      </w:r>
    </w:p>
    <w:p w14:paraId="3E72FF0E" w14:textId="03BAD0F0" w:rsidR="00F13662" w:rsidRPr="00F43F87" w:rsidRDefault="00F13662" w:rsidP="002C3ACE">
      <w:pPr>
        <w:rPr>
          <w:rFonts w:ascii="Verdana" w:hAnsi="Verdana"/>
        </w:rPr>
      </w:pPr>
      <w:r w:rsidRPr="00F43F87">
        <w:rPr>
          <w:rFonts w:ascii="Verdana" w:hAnsi="Verdana"/>
        </w:rPr>
        <w:t xml:space="preserve">This report underlines that, regardless of the national approach to commissioning and administering community-based services, achieving deinstitutionalisation requires coordination between national, regional and local authorities, both within and across different sectors.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F13662" w:rsidRPr="00F43F87" w14:paraId="6803A93D" w14:textId="77777777" w:rsidTr="00AA144D">
        <w:trPr>
          <w:cantSplit/>
        </w:trPr>
        <w:tc>
          <w:tcPr>
            <w:tcW w:w="0" w:type="auto"/>
            <w:shd w:val="clear" w:color="auto" w:fill="auto"/>
          </w:tcPr>
          <w:p w14:paraId="5CAF812B" w14:textId="10A3FA63" w:rsidR="00F13662" w:rsidRDefault="00F13662" w:rsidP="00F16131">
            <w:pPr>
              <w:spacing w:after="120"/>
              <w:rPr>
                <w:rFonts w:ascii="Verdana" w:hAnsi="Verdana"/>
                <w:b/>
                <w:color w:val="00565B"/>
                <w:lang w:val="en-GB"/>
              </w:rPr>
            </w:pPr>
            <w:r w:rsidRPr="00F61D76">
              <w:rPr>
                <w:rFonts w:ascii="Verdana" w:hAnsi="Verdana"/>
                <w:b/>
                <w:color w:val="00565B"/>
                <w:lang w:val="en-GB"/>
              </w:rPr>
              <w:t xml:space="preserve">FRA </w:t>
            </w:r>
            <w:r w:rsidR="00E46431" w:rsidRPr="00F61D76">
              <w:rPr>
                <w:rFonts w:ascii="Verdana" w:hAnsi="Verdana"/>
                <w:b/>
                <w:color w:val="00565B"/>
                <w:lang w:val="en-GB"/>
              </w:rPr>
              <w:t>O</w:t>
            </w:r>
            <w:r w:rsidRPr="00F61D76">
              <w:rPr>
                <w:rFonts w:ascii="Verdana" w:hAnsi="Verdana"/>
                <w:b/>
                <w:color w:val="00565B"/>
                <w:lang w:val="en-GB"/>
              </w:rPr>
              <w:t>pinion 4</w:t>
            </w:r>
          </w:p>
          <w:p w14:paraId="0DB0ED40" w14:textId="77777777" w:rsidR="00F13662" w:rsidRDefault="0031362B" w:rsidP="00F16131">
            <w:pPr>
              <w:spacing w:after="240"/>
              <w:rPr>
                <w:rFonts w:ascii="Verdana" w:hAnsi="Verdana"/>
                <w:i/>
                <w:lang w:val="en-GB"/>
              </w:rPr>
            </w:pPr>
            <w:r w:rsidRPr="00F61D76">
              <w:rPr>
                <w:rFonts w:ascii="Verdana" w:hAnsi="Verdana"/>
                <w:i/>
                <w:lang w:val="en-GB"/>
              </w:rPr>
              <w:t>EU </w:t>
            </w:r>
            <w:r w:rsidR="00F13662" w:rsidRPr="00F61D76">
              <w:rPr>
                <w:rFonts w:ascii="Verdana" w:hAnsi="Verdana"/>
                <w:i/>
                <w:lang w:val="en-GB"/>
              </w:rPr>
              <w:t>Member States should develop mechanisms to ensure effective coordination between relevant municipal, local, regional and national authorities. Member States should also facilitate the transfer of support services across different administrative sectors.</w:t>
            </w:r>
          </w:p>
          <w:p w14:paraId="53FB3A98" w14:textId="0F7E40FB" w:rsidR="00F61D76" w:rsidRPr="00F61D76" w:rsidRDefault="00F61D76" w:rsidP="002C3ACE">
            <w:pPr>
              <w:rPr>
                <w:rFonts w:ascii="Verdana" w:hAnsi="Verdana"/>
                <w:i/>
                <w:lang w:val="en-GB"/>
              </w:rPr>
            </w:pPr>
          </w:p>
        </w:tc>
      </w:tr>
    </w:tbl>
    <w:p w14:paraId="6F80890F" w14:textId="69C5A921" w:rsidR="00F13662" w:rsidRPr="00EF27A2" w:rsidRDefault="00F13662" w:rsidP="002C3ACE">
      <w:pPr>
        <w:rPr>
          <w:rFonts w:ascii="Verdana" w:hAnsi="Verdana"/>
        </w:rPr>
      </w:pPr>
      <w:r w:rsidRPr="00EF27A2">
        <w:rPr>
          <w:rFonts w:ascii="Verdana" w:hAnsi="Verdana"/>
        </w:rPr>
        <w:t xml:space="preserve">Deinstitutionalisation requires that the phasing out of institutional services be coupled with developing accessible support services in the community. This entails a cross-sectoral approach that integrates both specialised services for persons with disabilities and general services available to the local community as </w:t>
      </w:r>
      <w:r w:rsidRPr="00EF27A2">
        <w:rPr>
          <w:rFonts w:ascii="Verdana" w:hAnsi="Verdana"/>
        </w:rPr>
        <w:lastRenderedPageBreak/>
        <w:t>a whole. Deinstitutionalisation is also likely to require developing new and innovative support services that are adaptable to individual needs.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F13662" w:rsidRPr="00F43F87" w14:paraId="33B254EE" w14:textId="77777777" w:rsidTr="00AA144D">
        <w:trPr>
          <w:cantSplit/>
        </w:trPr>
        <w:tc>
          <w:tcPr>
            <w:tcW w:w="0" w:type="auto"/>
            <w:shd w:val="clear" w:color="auto" w:fill="auto"/>
          </w:tcPr>
          <w:p w14:paraId="311706FA" w14:textId="07E600AF" w:rsidR="00F13662" w:rsidRDefault="00F13662" w:rsidP="00F16131">
            <w:pPr>
              <w:spacing w:after="120"/>
              <w:rPr>
                <w:rFonts w:ascii="Verdana" w:hAnsi="Verdana"/>
                <w:b/>
                <w:color w:val="00565B"/>
                <w:lang w:val="en-GB"/>
              </w:rPr>
            </w:pPr>
            <w:r w:rsidRPr="00F61D76">
              <w:rPr>
                <w:rFonts w:ascii="Verdana" w:hAnsi="Verdana"/>
                <w:b/>
                <w:color w:val="00565B"/>
                <w:lang w:val="en-GB"/>
              </w:rPr>
              <w:t xml:space="preserve">FRA </w:t>
            </w:r>
            <w:r w:rsidR="00E46431" w:rsidRPr="00F61D76">
              <w:rPr>
                <w:rFonts w:ascii="Verdana" w:hAnsi="Verdana"/>
                <w:b/>
                <w:color w:val="00565B"/>
                <w:lang w:val="en-GB"/>
              </w:rPr>
              <w:t>O</w:t>
            </w:r>
            <w:r w:rsidRPr="00F61D76">
              <w:rPr>
                <w:rFonts w:ascii="Verdana" w:hAnsi="Verdana"/>
                <w:b/>
                <w:color w:val="00565B"/>
                <w:lang w:val="en-GB"/>
              </w:rPr>
              <w:t>pinion 5</w:t>
            </w:r>
          </w:p>
          <w:p w14:paraId="5B73687B" w14:textId="1767CA22" w:rsidR="00F13662" w:rsidRPr="00F61D76" w:rsidRDefault="0031362B" w:rsidP="002C3ACE">
            <w:pPr>
              <w:rPr>
                <w:rFonts w:ascii="Verdana" w:hAnsi="Verdana"/>
                <w:i/>
                <w:lang w:val="en-GB"/>
              </w:rPr>
            </w:pPr>
            <w:r w:rsidRPr="00F61D76">
              <w:rPr>
                <w:rFonts w:ascii="Verdana" w:hAnsi="Verdana"/>
                <w:i/>
                <w:lang w:val="en-GB"/>
              </w:rPr>
              <w:t>EU </w:t>
            </w:r>
            <w:r w:rsidR="00F13662" w:rsidRPr="00F61D76">
              <w:rPr>
                <w:rFonts w:ascii="Verdana" w:hAnsi="Verdana"/>
                <w:i/>
                <w:lang w:val="en-GB"/>
              </w:rPr>
              <w:t>Member States should develop mechanisms to ensure effective coordination between relevant sectors involved in deinstitutionalisation, including housing, employment, health and social services.</w:t>
            </w:r>
          </w:p>
          <w:p w14:paraId="757C1158" w14:textId="7B6A2A94" w:rsidR="00F13662" w:rsidRPr="00F43F87" w:rsidRDefault="00F13662" w:rsidP="002C3ACE">
            <w:pPr>
              <w:rPr>
                <w:rFonts w:ascii="Verdana" w:hAnsi="Verdana"/>
                <w:b/>
                <w:lang w:val="en-GB"/>
              </w:rPr>
            </w:pPr>
            <w:r w:rsidRPr="00F61D76">
              <w:rPr>
                <w:rFonts w:ascii="Verdana" w:hAnsi="Verdana"/>
                <w:i/>
                <w:lang w:val="en-GB"/>
              </w:rPr>
              <w:t>Member States, and the European Commission when ESIF are involved, should ensure that newly developed community-based support services are financially and practically sustainable.</w:t>
            </w:r>
          </w:p>
        </w:tc>
      </w:tr>
    </w:tbl>
    <w:p w14:paraId="52998D90" w14:textId="77777777" w:rsidR="000B3851" w:rsidRDefault="000B3851" w:rsidP="00F61D76">
      <w:pPr>
        <w:pStyle w:val="Heading1"/>
        <w:rPr>
          <w:szCs w:val="30"/>
        </w:rPr>
      </w:pPr>
      <w:bookmarkStart w:id="11" w:name="_Toc485993645"/>
      <w:bookmarkStart w:id="12" w:name="_Toc485998450"/>
      <w:bookmarkStart w:id="13" w:name="_Toc486941436"/>
    </w:p>
    <w:p w14:paraId="00689420" w14:textId="77777777" w:rsidR="000B3851" w:rsidRDefault="000B3851" w:rsidP="000B3851">
      <w:pPr>
        <w:rPr>
          <w:rFonts w:ascii="Verdana" w:eastAsiaTheme="majorEastAsia" w:hAnsi="Verdana" w:cstheme="majorBidi"/>
          <w:color w:val="00565B"/>
          <w:sz w:val="30"/>
        </w:rPr>
      </w:pPr>
      <w:r>
        <w:br w:type="page"/>
      </w:r>
    </w:p>
    <w:p w14:paraId="518198D3" w14:textId="67D8BA1B" w:rsidR="00F13662" w:rsidRPr="00CA7435" w:rsidRDefault="00836033" w:rsidP="00F61D76">
      <w:pPr>
        <w:pStyle w:val="Heading1"/>
        <w:rPr>
          <w:szCs w:val="30"/>
        </w:rPr>
      </w:pPr>
      <w:bookmarkStart w:id="14" w:name="_Toc500189295"/>
      <w:r>
        <w:rPr>
          <w:szCs w:val="30"/>
        </w:rPr>
        <w:lastRenderedPageBreak/>
        <w:t>1</w:t>
      </w:r>
      <w:r>
        <w:rPr>
          <w:szCs w:val="30"/>
        </w:rPr>
        <w:tab/>
      </w:r>
      <w:r w:rsidR="00F13662" w:rsidRPr="00CA7435">
        <w:rPr>
          <w:szCs w:val="30"/>
        </w:rPr>
        <w:t>Commitment to deinstitutionalisation</w:t>
      </w:r>
      <w:bookmarkEnd w:id="11"/>
      <w:bookmarkEnd w:id="12"/>
      <w:bookmarkEnd w:id="13"/>
      <w:bookmarkEnd w:id="14"/>
    </w:p>
    <w:p w14:paraId="01866464" w14:textId="2BA4CF62" w:rsidR="00F13662" w:rsidRPr="00F43F87" w:rsidRDefault="00F13662" w:rsidP="002C3ACE">
      <w:pPr>
        <w:rPr>
          <w:rFonts w:ascii="Verdana" w:hAnsi="Verdana"/>
        </w:rPr>
      </w:pPr>
      <w:r w:rsidRPr="00F43F87">
        <w:rPr>
          <w:rFonts w:ascii="Verdana" w:hAnsi="Verdana"/>
        </w:rPr>
        <w:t>One of the key building blocks underpinning deinstitutionalisation is commitments by public authorities to support the transition from institutional to community-based support for persons with disabilities. In addition to signalling the political will that is crucial to achieving deinstitutionalisation, these commitments can set a blueprint for how to implement it in practice.</w:t>
      </w:r>
    </w:p>
    <w:p w14:paraId="0D76B2BF" w14:textId="30C2DF6D" w:rsidR="00F13662" w:rsidRDefault="00F13662" w:rsidP="00F61D76">
      <w:pPr>
        <w:pStyle w:val="Heading2"/>
      </w:pPr>
      <w:bookmarkStart w:id="15" w:name="_Toc485993646"/>
      <w:bookmarkStart w:id="16" w:name="_Toc485998451"/>
      <w:bookmarkStart w:id="17" w:name="_Toc486941437"/>
      <w:bookmarkStart w:id="18" w:name="_Toc500189296"/>
      <w:r w:rsidRPr="00CA7435">
        <w:t>Convention on the Rights of Persons with Disabilities: setting standards for action</w:t>
      </w:r>
      <w:bookmarkEnd w:id="15"/>
      <w:bookmarkEnd w:id="16"/>
      <w:bookmarkEnd w:id="17"/>
      <w:bookmarkEnd w:id="18"/>
    </w:p>
    <w:p w14:paraId="1D9B0740" w14:textId="4C368379" w:rsidR="00F13662" w:rsidRPr="00F43F87" w:rsidRDefault="00F13662" w:rsidP="002C3ACE">
      <w:pPr>
        <w:rPr>
          <w:rFonts w:ascii="Verdana" w:hAnsi="Verdana"/>
        </w:rPr>
      </w:pPr>
      <w:r w:rsidRPr="00F43F87">
        <w:rPr>
          <w:rFonts w:ascii="Verdana" w:hAnsi="Verdana"/>
        </w:rPr>
        <w:t xml:space="preserve">Article 19 of the </w:t>
      </w:r>
      <w:r w:rsidR="0031362B" w:rsidRPr="00F43F87">
        <w:rPr>
          <w:rFonts w:ascii="Verdana" w:hAnsi="Verdana"/>
        </w:rPr>
        <w:t>CRPD </w:t>
      </w:r>
      <w:r w:rsidRPr="00F43F87">
        <w:rPr>
          <w:rFonts w:ascii="Verdana" w:hAnsi="Verdana"/>
        </w:rPr>
        <w:t>is the core global standard for independent living.</w:t>
      </w:r>
      <w:r w:rsidRPr="00F43F87">
        <w:rPr>
          <w:rStyle w:val="EndnoteReference"/>
          <w:rFonts w:ascii="Verdana" w:hAnsi="Verdana"/>
        </w:rPr>
        <w:endnoteReference w:id="8"/>
      </w:r>
      <w:r w:rsidRPr="00F43F87">
        <w:rPr>
          <w:rFonts w:ascii="Verdana" w:hAnsi="Verdana"/>
        </w:rPr>
        <w:t xml:space="preserve"> It breaks down the right to live, be included and participate in the community, on an equal basis with others, into three elements. Each is equally applicable to all persons with disabilities, irrespective of the type or severity of their impairment:</w:t>
      </w:r>
    </w:p>
    <w:p w14:paraId="1FEF1175" w14:textId="28B15BA7" w:rsidR="00D3783A" w:rsidRDefault="00F13662" w:rsidP="00D3783A">
      <w:pPr>
        <w:pStyle w:val="ListParagraph"/>
        <w:numPr>
          <w:ilvl w:val="0"/>
          <w:numId w:val="24"/>
        </w:numPr>
        <w:rPr>
          <w:rFonts w:ascii="Verdana" w:hAnsi="Verdana"/>
        </w:rPr>
      </w:pPr>
      <w:r w:rsidRPr="00F43F87">
        <w:rPr>
          <w:rFonts w:ascii="Verdana" w:hAnsi="Verdana"/>
          <w:b/>
        </w:rPr>
        <w:t>Choice:</w:t>
      </w:r>
      <w:r w:rsidRPr="00F43F87">
        <w:rPr>
          <w:rFonts w:ascii="Verdana" w:hAnsi="Verdana"/>
        </w:rPr>
        <w:t xml:space="preserve"> having the opportunity to choose one’s place of residence and where and with whom to live, on an equal basis with others. This includes choice of the way any support is provided.</w:t>
      </w:r>
    </w:p>
    <w:p w14:paraId="3ED5BC9B" w14:textId="77777777" w:rsidR="00D3783A" w:rsidRPr="00D3783A" w:rsidRDefault="00D3783A" w:rsidP="00D3783A">
      <w:pPr>
        <w:pStyle w:val="ListParagraph"/>
        <w:rPr>
          <w:rFonts w:ascii="Verdana" w:hAnsi="Verdana"/>
        </w:rPr>
      </w:pPr>
    </w:p>
    <w:p w14:paraId="50C9FB1D" w14:textId="7A37926A" w:rsidR="00F13662" w:rsidRDefault="00F13662" w:rsidP="002C3ACE">
      <w:pPr>
        <w:pStyle w:val="ListParagraph"/>
        <w:numPr>
          <w:ilvl w:val="0"/>
          <w:numId w:val="24"/>
        </w:numPr>
        <w:rPr>
          <w:rFonts w:ascii="Verdana" w:hAnsi="Verdana"/>
        </w:rPr>
      </w:pPr>
      <w:r w:rsidRPr="00F43F87">
        <w:rPr>
          <w:rFonts w:ascii="Verdana" w:hAnsi="Verdana"/>
          <w:b/>
        </w:rPr>
        <w:t xml:space="preserve">Support: </w:t>
      </w:r>
      <w:r w:rsidRPr="00F43F87">
        <w:rPr>
          <w:rFonts w:ascii="Verdana" w:hAnsi="Verdana"/>
        </w:rPr>
        <w:t>having access to a range of services, including personal assistance, to support living and inclusion in the community. This support should respect the individual autonomy of persons with disabilities and promote their ability to effectively take part and be included in society.</w:t>
      </w:r>
    </w:p>
    <w:p w14:paraId="22246F0A" w14:textId="60A7A852" w:rsidR="00D3783A" w:rsidRPr="00D3783A" w:rsidRDefault="00D3783A" w:rsidP="00D3783A">
      <w:pPr>
        <w:pStyle w:val="ListParagraph"/>
        <w:rPr>
          <w:rFonts w:ascii="Verdana" w:hAnsi="Verdana"/>
        </w:rPr>
      </w:pPr>
    </w:p>
    <w:p w14:paraId="3F44B196" w14:textId="40F8D8C8" w:rsidR="00F13662" w:rsidRDefault="00F13662" w:rsidP="002C3ACE">
      <w:pPr>
        <w:pStyle w:val="ListParagraph"/>
        <w:numPr>
          <w:ilvl w:val="0"/>
          <w:numId w:val="24"/>
        </w:numPr>
        <w:rPr>
          <w:rFonts w:ascii="Verdana" w:hAnsi="Verdana"/>
        </w:rPr>
      </w:pPr>
      <w:r w:rsidRPr="00F43F87">
        <w:rPr>
          <w:rFonts w:ascii="Verdana" w:hAnsi="Verdana"/>
          <w:b/>
        </w:rPr>
        <w:t>Availability of community services and facilities:</w:t>
      </w:r>
      <w:r w:rsidRPr="00F43F87">
        <w:rPr>
          <w:rFonts w:ascii="Verdana" w:hAnsi="Verdana"/>
        </w:rPr>
        <w:t xml:space="preserve"> ensuring that existing public services are inclusive of persons with disabilities.</w:t>
      </w:r>
      <w:r w:rsidRPr="00F43F87">
        <w:rPr>
          <w:rFonts w:ascii="Verdana" w:hAnsi="Verdana"/>
          <w:vertAlign w:val="superscript"/>
        </w:rPr>
        <w:endnoteReference w:id="9"/>
      </w:r>
    </w:p>
    <w:p w14:paraId="0B62CA3E" w14:textId="77777777" w:rsidR="00F61D76" w:rsidRPr="00F43F87" w:rsidRDefault="00F61D76" w:rsidP="00F61D76">
      <w:pPr>
        <w:pStyle w:val="ListParagraph"/>
        <w:rPr>
          <w:rFonts w:ascii="Verdana" w:hAnsi="Verdana"/>
        </w:rPr>
      </w:pPr>
    </w:p>
    <w:p w14:paraId="0F9A7D8B" w14:textId="77777777" w:rsidR="004D7E8E" w:rsidRDefault="004D7E8E" w:rsidP="002C3ACE">
      <w:pPr>
        <w:rPr>
          <w:rFonts w:ascii="Verdana" w:hAnsi="Verdana"/>
        </w:rPr>
      </w:pPr>
    </w:p>
    <w:p w14:paraId="27FC54E3" w14:textId="62464C3D" w:rsidR="00F13662" w:rsidRPr="00F43F87" w:rsidRDefault="00F13662" w:rsidP="002C3ACE">
      <w:pPr>
        <w:rPr>
          <w:rFonts w:ascii="Verdana" w:hAnsi="Verdana"/>
        </w:rPr>
      </w:pPr>
      <w:r w:rsidRPr="00F43F87">
        <w:rPr>
          <w:rFonts w:ascii="Verdana" w:hAnsi="Verdana"/>
        </w:rPr>
        <w:t xml:space="preserve">The right to choose where and with whom to live is immediately applicable, the </w:t>
      </w:r>
      <w:r w:rsidR="0031362B" w:rsidRPr="00F43F87">
        <w:rPr>
          <w:rFonts w:ascii="Verdana" w:hAnsi="Verdana"/>
        </w:rPr>
        <w:t>CRPD </w:t>
      </w:r>
      <w:r w:rsidRPr="00F43F87">
        <w:rPr>
          <w:rFonts w:ascii="Verdana" w:hAnsi="Verdana"/>
        </w:rPr>
        <w:t>Committee emphasises in its General Comment on Article 19.</w:t>
      </w:r>
      <w:r w:rsidRPr="00F43F87">
        <w:rPr>
          <w:rStyle w:val="EndnoteReference"/>
          <w:rFonts w:ascii="Verdana" w:hAnsi="Verdana"/>
          <w:szCs w:val="20"/>
        </w:rPr>
        <w:endnoteReference w:id="10"/>
      </w:r>
      <w:r w:rsidRPr="00F43F87">
        <w:rPr>
          <w:rFonts w:ascii="Verdana" w:hAnsi="Verdana"/>
        </w:rPr>
        <w:t xml:space="preserve"> In contrast, the rights to access individualised support services, and community services and facilities, under Article 19 (b) and (c) are subject to so-called ‘progressive realisation’. This obliges States Parties to the convention to take measures to realise these rights “to the maximum of [their] available resources”.</w:t>
      </w:r>
      <w:r w:rsidRPr="00F43F87">
        <w:rPr>
          <w:rStyle w:val="EndnoteReference"/>
          <w:rFonts w:ascii="Verdana" w:hAnsi="Verdana"/>
        </w:rPr>
        <w:endnoteReference w:id="11"/>
      </w:r>
      <w:r w:rsidRPr="00F43F87">
        <w:rPr>
          <w:rFonts w:ascii="Verdana" w:hAnsi="Verdana"/>
        </w:rPr>
        <w:t xml:space="preserve"> The </w:t>
      </w:r>
      <w:r w:rsidR="0031362B" w:rsidRPr="00F43F87">
        <w:rPr>
          <w:rFonts w:ascii="Verdana" w:hAnsi="Verdana"/>
        </w:rPr>
        <w:t>CRPD </w:t>
      </w:r>
      <w:r w:rsidRPr="00F43F87">
        <w:rPr>
          <w:rFonts w:ascii="Verdana" w:hAnsi="Verdana"/>
        </w:rPr>
        <w:t>Committee also highlights the close links between Article 19 and other convention rights, in particular the decision-making rights set out under Article 12 on equal recognition before the law.</w:t>
      </w:r>
      <w:r w:rsidRPr="00F43F87">
        <w:rPr>
          <w:rStyle w:val="EndnoteReference"/>
          <w:rFonts w:ascii="Verdana" w:hAnsi="Verdana"/>
        </w:rPr>
        <w:endnoteReference w:id="12"/>
      </w:r>
    </w:p>
    <w:p w14:paraId="1E99B204" w14:textId="7A1FB741" w:rsidR="00F13662" w:rsidRPr="00F43F87" w:rsidRDefault="00F13662" w:rsidP="002C3ACE">
      <w:pPr>
        <w:rPr>
          <w:rFonts w:ascii="Verdana" w:hAnsi="Verdana"/>
        </w:rPr>
      </w:pPr>
      <w:r w:rsidRPr="00F43F87">
        <w:rPr>
          <w:rFonts w:ascii="Verdana" w:hAnsi="Verdana"/>
        </w:rPr>
        <w:t xml:space="preserve">As of October 2017, 27 </w:t>
      </w:r>
      <w:r w:rsidR="0031362B" w:rsidRPr="00F43F87">
        <w:rPr>
          <w:rFonts w:ascii="Verdana" w:hAnsi="Verdana"/>
        </w:rPr>
        <w:t>EU </w:t>
      </w:r>
      <w:r w:rsidRPr="00F43F87">
        <w:rPr>
          <w:rFonts w:ascii="Verdana" w:hAnsi="Verdana"/>
        </w:rPr>
        <w:t>Member States have formalised their commitment to fulfilling the right to live independently and be included in the community by ratifying the CRPD.</w:t>
      </w:r>
      <w:r w:rsidRPr="00F43F87">
        <w:rPr>
          <w:rStyle w:val="EndnoteReference"/>
          <w:rFonts w:ascii="Verdana" w:hAnsi="Verdana"/>
        </w:rPr>
        <w:endnoteReference w:id="13"/>
      </w:r>
      <w:r w:rsidRPr="00F43F87">
        <w:rPr>
          <w:rFonts w:ascii="Verdana" w:hAnsi="Verdana"/>
        </w:rPr>
        <w:t xml:space="preserve"> </w:t>
      </w:r>
      <w:r w:rsidRPr="00F43F87">
        <w:rPr>
          <w:rFonts w:ascii="Verdana" w:hAnsi="Verdana"/>
          <w:b/>
        </w:rPr>
        <w:t xml:space="preserve">Ireland </w:t>
      </w:r>
      <w:r w:rsidRPr="00F43F87">
        <w:rPr>
          <w:rFonts w:ascii="Verdana" w:hAnsi="Verdana"/>
        </w:rPr>
        <w:t xml:space="preserve">has signed but not yet ratified the convention. In addition, the </w:t>
      </w:r>
      <w:r w:rsidR="0031362B" w:rsidRPr="00F43F87">
        <w:rPr>
          <w:rFonts w:ascii="Verdana" w:hAnsi="Verdana"/>
        </w:rPr>
        <w:t>EU </w:t>
      </w:r>
      <w:r w:rsidRPr="00F43F87">
        <w:rPr>
          <w:rFonts w:ascii="Verdana" w:hAnsi="Verdana"/>
        </w:rPr>
        <w:t xml:space="preserve">itself accepted the </w:t>
      </w:r>
      <w:r w:rsidR="0031362B" w:rsidRPr="00F43F87">
        <w:rPr>
          <w:rFonts w:ascii="Verdana" w:hAnsi="Verdana"/>
        </w:rPr>
        <w:t>CRPD </w:t>
      </w:r>
      <w:r w:rsidRPr="00F43F87">
        <w:rPr>
          <w:rFonts w:ascii="Verdana" w:hAnsi="Verdana"/>
        </w:rPr>
        <w:t xml:space="preserve">in 2010. This marked the first time a regional integration organisation accepted one of the core international human rights conventions. As both the </w:t>
      </w:r>
      <w:r w:rsidR="0031362B" w:rsidRPr="00F43F87">
        <w:rPr>
          <w:rFonts w:ascii="Verdana" w:hAnsi="Verdana"/>
        </w:rPr>
        <w:t>EU </w:t>
      </w:r>
      <w:r w:rsidRPr="00F43F87">
        <w:rPr>
          <w:rFonts w:ascii="Verdana" w:hAnsi="Verdana"/>
        </w:rPr>
        <w:t xml:space="preserve">and its Member States are separate contracting parties, and each has responsibilities in the fields covered by the CRPD, the convention is a ‘mixed’ agreement in the context of the EU. </w:t>
      </w:r>
      <w:r w:rsidR="0031362B" w:rsidRPr="00F43F87">
        <w:rPr>
          <w:rFonts w:ascii="Verdana" w:hAnsi="Verdana"/>
        </w:rPr>
        <w:t>EU </w:t>
      </w:r>
      <w:r w:rsidRPr="00F43F87">
        <w:rPr>
          <w:rFonts w:ascii="Verdana" w:hAnsi="Verdana"/>
        </w:rPr>
        <w:t xml:space="preserve">law obliges Member States to implement the convention to the extent that its </w:t>
      </w:r>
      <w:r w:rsidRPr="00F43F87">
        <w:rPr>
          <w:rFonts w:ascii="Verdana" w:hAnsi="Verdana"/>
        </w:rPr>
        <w:lastRenderedPageBreak/>
        <w:t xml:space="preserve">provisions fall within the EU’s competence. When the </w:t>
      </w:r>
      <w:r w:rsidR="0031362B" w:rsidRPr="00F43F87">
        <w:rPr>
          <w:rFonts w:ascii="Verdana" w:hAnsi="Verdana"/>
        </w:rPr>
        <w:t>EU </w:t>
      </w:r>
      <w:r w:rsidRPr="00F43F87">
        <w:rPr>
          <w:rFonts w:ascii="Verdana" w:hAnsi="Verdana"/>
        </w:rPr>
        <w:t xml:space="preserve">accepted the CRPD, it identified independent living and social inclusion as an area of </w:t>
      </w:r>
      <w:r w:rsidR="0031362B" w:rsidRPr="00F43F87">
        <w:rPr>
          <w:rFonts w:ascii="Verdana" w:hAnsi="Verdana"/>
        </w:rPr>
        <w:t>EU </w:t>
      </w:r>
      <w:r w:rsidRPr="00F43F87">
        <w:rPr>
          <w:rFonts w:ascii="Verdana" w:hAnsi="Verdana"/>
        </w:rPr>
        <w:t>competence.</w:t>
      </w:r>
      <w:r w:rsidRPr="00F43F87">
        <w:rPr>
          <w:rStyle w:val="EndnoteReference"/>
          <w:rFonts w:ascii="Verdana" w:hAnsi="Verdana"/>
        </w:rPr>
        <w:endnoteReference w:id="14"/>
      </w:r>
    </w:p>
    <w:p w14:paraId="15359AD0" w14:textId="26A15124" w:rsidR="00F13662" w:rsidRPr="00F43F87" w:rsidRDefault="00F13662" w:rsidP="002C3ACE">
      <w:pPr>
        <w:rPr>
          <w:rFonts w:ascii="Verdana" w:hAnsi="Verdana"/>
        </w:rPr>
      </w:pPr>
      <w:r w:rsidRPr="00F43F87">
        <w:rPr>
          <w:rFonts w:ascii="Verdana" w:hAnsi="Verdana"/>
        </w:rPr>
        <w:t xml:space="preserve">As FRA evidence consistently shows, ratifying the </w:t>
      </w:r>
      <w:r w:rsidR="0031362B" w:rsidRPr="00F43F87">
        <w:rPr>
          <w:rFonts w:ascii="Verdana" w:hAnsi="Verdana"/>
        </w:rPr>
        <w:t>CRPD </w:t>
      </w:r>
      <w:r w:rsidRPr="00F43F87">
        <w:rPr>
          <w:rFonts w:ascii="Verdana" w:hAnsi="Verdana"/>
        </w:rPr>
        <w:t>has spurred wide-ranging legal and policy reforms concerning the right to independent living, including deinstitutionalisation.</w:t>
      </w:r>
      <w:r w:rsidRPr="00F43F87">
        <w:rPr>
          <w:rStyle w:val="EndnoteReference"/>
          <w:rFonts w:ascii="Verdana" w:hAnsi="Verdana"/>
        </w:rPr>
        <w:endnoteReference w:id="15"/>
      </w:r>
      <w:r w:rsidRPr="00F43F87">
        <w:rPr>
          <w:rFonts w:ascii="Verdana" w:hAnsi="Verdana"/>
        </w:rPr>
        <w:t xml:space="preserve"> Most </w:t>
      </w:r>
      <w:r w:rsidR="0031362B" w:rsidRPr="00F43F87">
        <w:rPr>
          <w:rFonts w:ascii="Verdana" w:hAnsi="Verdana"/>
        </w:rPr>
        <w:t>EU </w:t>
      </w:r>
      <w:r w:rsidRPr="00F43F87">
        <w:rPr>
          <w:rFonts w:ascii="Verdana" w:hAnsi="Verdana"/>
        </w:rPr>
        <w:t>Member States have examples of new or amended legislation to promote choice of living arrangements, personalised support, and access to community services and facilities open to the general population.</w:t>
      </w:r>
      <w:r w:rsidRPr="00F43F87">
        <w:rPr>
          <w:rStyle w:val="EndnoteReference"/>
          <w:rFonts w:ascii="Verdana" w:hAnsi="Verdana"/>
        </w:rPr>
        <w:endnoteReference w:id="16"/>
      </w:r>
    </w:p>
    <w:p w14:paraId="2072552E" w14:textId="5C5A9DA8" w:rsidR="00F13662" w:rsidRPr="00F43F87" w:rsidRDefault="00F13662" w:rsidP="002C3ACE">
      <w:pPr>
        <w:rPr>
          <w:rFonts w:ascii="Verdana" w:hAnsi="Verdana"/>
        </w:rPr>
      </w:pPr>
      <w:r w:rsidRPr="00F43F87">
        <w:rPr>
          <w:rFonts w:ascii="Verdana" w:hAnsi="Verdana"/>
        </w:rPr>
        <w:t xml:space="preserve">A few examples highlight the range of reform initiatives. Several Member States, including </w:t>
      </w:r>
      <w:r w:rsidRPr="00F43F87">
        <w:rPr>
          <w:rFonts w:ascii="Verdana" w:hAnsi="Verdana"/>
          <w:b/>
        </w:rPr>
        <w:t>Bulgaria</w:t>
      </w:r>
      <w:r w:rsidRPr="00F43F87">
        <w:rPr>
          <w:rStyle w:val="EndnoteReference"/>
          <w:rFonts w:ascii="Verdana" w:hAnsi="Verdana"/>
        </w:rPr>
        <w:endnoteReference w:id="17"/>
      </w:r>
      <w:r w:rsidRPr="00F43F87">
        <w:rPr>
          <w:rFonts w:ascii="Verdana" w:hAnsi="Verdana"/>
          <w:b/>
        </w:rPr>
        <w:t xml:space="preserve"> </w:t>
      </w:r>
      <w:r w:rsidRPr="00F43F87">
        <w:rPr>
          <w:rFonts w:ascii="Verdana" w:hAnsi="Verdana"/>
        </w:rPr>
        <w:t xml:space="preserve">and </w:t>
      </w:r>
      <w:r w:rsidRPr="00F43F87">
        <w:rPr>
          <w:rFonts w:ascii="Verdana" w:hAnsi="Verdana"/>
          <w:b/>
        </w:rPr>
        <w:t>Latvia</w:t>
      </w:r>
      <w:r w:rsidRPr="00F43F87">
        <w:rPr>
          <w:rFonts w:ascii="Verdana" w:hAnsi="Verdana"/>
        </w:rPr>
        <w:t>,</w:t>
      </w:r>
      <w:r w:rsidRPr="00F43F87">
        <w:rPr>
          <w:rStyle w:val="EndnoteReference"/>
          <w:rFonts w:ascii="Verdana" w:hAnsi="Verdana"/>
        </w:rPr>
        <w:endnoteReference w:id="18"/>
      </w:r>
      <w:r w:rsidRPr="00F43F87">
        <w:rPr>
          <w:rFonts w:ascii="Verdana" w:hAnsi="Verdana"/>
          <w:b/>
        </w:rPr>
        <w:t xml:space="preserve"> </w:t>
      </w:r>
      <w:r w:rsidRPr="00F43F87">
        <w:rPr>
          <w:rFonts w:ascii="Verdana" w:hAnsi="Verdana"/>
        </w:rPr>
        <w:t>have introduced a statutory right to personal assistance, albeit with various degrees of scope.</w:t>
      </w:r>
      <w:r w:rsidRPr="00F43F87">
        <w:rPr>
          <w:rStyle w:val="EndnoteReference"/>
          <w:rFonts w:ascii="Verdana" w:hAnsi="Verdana"/>
        </w:rPr>
        <w:endnoteReference w:id="19"/>
      </w:r>
      <w:r w:rsidRPr="00F43F87">
        <w:rPr>
          <w:rFonts w:ascii="Verdana" w:hAnsi="Verdana"/>
        </w:rPr>
        <w:t xml:space="preserve"> Other reforms have focused on financial support. In </w:t>
      </w:r>
      <w:r w:rsidRPr="00F43F87">
        <w:rPr>
          <w:rFonts w:ascii="Verdana" w:hAnsi="Verdana"/>
          <w:b/>
        </w:rPr>
        <w:t>Belgium</w:t>
      </w:r>
      <w:r w:rsidRPr="00F43F87">
        <w:rPr>
          <w:rFonts w:ascii="Verdana" w:hAnsi="Verdana"/>
        </w:rPr>
        <w:t>, the Flemish Parliament reformed the funding system provided by the Flemish Agency for People with a Disability. In addition to the basic budget provided to all persons with disabilities and support needs, a second, larger, personalised budget is available as either cash or a voucher for particular services.</w:t>
      </w:r>
      <w:r w:rsidRPr="00F43F87">
        <w:rPr>
          <w:rStyle w:val="EndnoteReference"/>
          <w:rFonts w:ascii="Verdana" w:hAnsi="Verdana"/>
        </w:rPr>
        <w:endnoteReference w:id="20"/>
      </w:r>
      <w:r w:rsidRPr="00F43F87">
        <w:rPr>
          <w:rFonts w:ascii="Verdana" w:hAnsi="Verdana"/>
        </w:rPr>
        <w:t xml:space="preserve"> In 2016, the </w:t>
      </w:r>
      <w:r w:rsidRPr="00F43F87">
        <w:rPr>
          <w:rFonts w:ascii="Verdana" w:hAnsi="Verdana"/>
          <w:b/>
        </w:rPr>
        <w:t>Italian</w:t>
      </w:r>
      <w:r w:rsidRPr="00F43F87">
        <w:rPr>
          <w:rFonts w:ascii="Verdana" w:hAnsi="Verdana"/>
        </w:rPr>
        <w:t xml:space="preserve"> Parliament approved a law on support measures for persons with disabilities. This included, among other goals, a dedicated annual fund to foster deinstitutionalisation and the development of community-based services.</w:t>
      </w:r>
      <w:r w:rsidRPr="00F43F87">
        <w:rPr>
          <w:rStyle w:val="EndnoteReference"/>
          <w:rFonts w:ascii="Verdana" w:hAnsi="Verdana"/>
        </w:rPr>
        <w:endnoteReference w:id="21"/>
      </w:r>
    </w:p>
    <w:p w14:paraId="0E7386DF" w14:textId="12F77F66" w:rsidR="00F13662" w:rsidRDefault="00F13662" w:rsidP="002C3ACE">
      <w:pPr>
        <w:rPr>
          <w:rFonts w:ascii="Verdana" w:hAnsi="Verdana"/>
        </w:rPr>
      </w:pPr>
      <w:r w:rsidRPr="00F43F87">
        <w:rPr>
          <w:rFonts w:ascii="Verdana" w:hAnsi="Verdana"/>
        </w:rPr>
        <w:t xml:space="preserve">Realising the right to independent living in practice remains, however, a significant challenge. In its General Comment on Article 19, the </w:t>
      </w:r>
      <w:r w:rsidR="0031362B" w:rsidRPr="00F43F87">
        <w:rPr>
          <w:rFonts w:ascii="Verdana" w:hAnsi="Verdana"/>
        </w:rPr>
        <w:t>CRPD </w:t>
      </w:r>
      <w:r w:rsidRPr="00F43F87">
        <w:rPr>
          <w:rFonts w:ascii="Verdana" w:hAnsi="Verdana"/>
        </w:rPr>
        <w:t>Committee noted “a gap between the goals and spirit of article 19 and the scope of its implementation”.</w:t>
      </w:r>
      <w:r w:rsidRPr="00F43F87">
        <w:rPr>
          <w:rStyle w:val="EndnoteReference"/>
          <w:rFonts w:ascii="Verdana" w:hAnsi="Verdana"/>
        </w:rPr>
        <w:endnoteReference w:id="22"/>
      </w:r>
      <w:r w:rsidRPr="00F43F87">
        <w:rPr>
          <w:rFonts w:ascii="Verdana" w:hAnsi="Verdana"/>
        </w:rPr>
        <w:t xml:space="preserve"> Six particular challenges emerge from the </w:t>
      </w:r>
      <w:r w:rsidR="0031362B" w:rsidRPr="00F43F87">
        <w:rPr>
          <w:rFonts w:ascii="Verdana" w:hAnsi="Verdana"/>
        </w:rPr>
        <w:t>CRPD </w:t>
      </w:r>
      <w:r w:rsidRPr="00F43F87">
        <w:rPr>
          <w:rFonts w:ascii="Verdana" w:hAnsi="Verdana"/>
        </w:rPr>
        <w:t>Committee’s assessment of Member States’ efforts to fulfil the obligations of Article 19. Several relate specifically to deinstitutionalisation:</w:t>
      </w:r>
    </w:p>
    <w:p w14:paraId="44BF43E9" w14:textId="77777777" w:rsidR="004D7E8E" w:rsidRPr="00F43F87" w:rsidRDefault="004D7E8E" w:rsidP="002C3ACE">
      <w:pPr>
        <w:rPr>
          <w:rFonts w:ascii="Verdana" w:hAnsi="Verdana"/>
        </w:rPr>
      </w:pPr>
    </w:p>
    <w:p w14:paraId="7FC2E0DC" w14:textId="1C80688D" w:rsidR="00F13662" w:rsidRDefault="00F13662" w:rsidP="002C3ACE">
      <w:pPr>
        <w:pStyle w:val="ListParagraph"/>
        <w:numPr>
          <w:ilvl w:val="0"/>
          <w:numId w:val="24"/>
        </w:numPr>
        <w:rPr>
          <w:rFonts w:ascii="Verdana" w:hAnsi="Verdana"/>
        </w:rPr>
      </w:pPr>
      <w:r w:rsidRPr="00F43F87">
        <w:rPr>
          <w:rFonts w:ascii="Verdana" w:hAnsi="Verdana"/>
        </w:rPr>
        <w:t>high levels of institutionalisation and, in some Member States, a trend towards reinstitutionalisation;</w:t>
      </w:r>
    </w:p>
    <w:p w14:paraId="09B36470" w14:textId="77777777" w:rsidR="004D7E8E" w:rsidRPr="00F43F87" w:rsidRDefault="004D7E8E" w:rsidP="004D7E8E">
      <w:pPr>
        <w:pStyle w:val="ListParagraph"/>
        <w:rPr>
          <w:rFonts w:ascii="Verdana" w:hAnsi="Verdana"/>
        </w:rPr>
      </w:pPr>
    </w:p>
    <w:p w14:paraId="5AB15877" w14:textId="145A06CF" w:rsidR="00F13662" w:rsidRDefault="00F13662" w:rsidP="002C3ACE">
      <w:pPr>
        <w:pStyle w:val="ListParagraph"/>
        <w:numPr>
          <w:ilvl w:val="0"/>
          <w:numId w:val="24"/>
        </w:numPr>
        <w:rPr>
          <w:rFonts w:ascii="Verdana" w:hAnsi="Verdana"/>
        </w:rPr>
      </w:pPr>
      <w:r w:rsidRPr="00F43F87">
        <w:rPr>
          <w:rFonts w:ascii="Verdana" w:hAnsi="Verdana"/>
        </w:rPr>
        <w:t>lack of choice of residence for persons with disabilities because there is a shortage of alternative, community-based living arrangements;</w:t>
      </w:r>
    </w:p>
    <w:p w14:paraId="02DBF766" w14:textId="592C25F1" w:rsidR="004D7E8E" w:rsidRPr="004D7E8E" w:rsidRDefault="004D7E8E" w:rsidP="004D7E8E">
      <w:pPr>
        <w:pStyle w:val="ListParagraph"/>
        <w:rPr>
          <w:rFonts w:ascii="Verdana" w:hAnsi="Verdana"/>
        </w:rPr>
      </w:pPr>
    </w:p>
    <w:p w14:paraId="5D026D45" w14:textId="42D5039B" w:rsidR="00F13662" w:rsidRDefault="00F13662" w:rsidP="002C3ACE">
      <w:pPr>
        <w:pStyle w:val="ListParagraph"/>
        <w:numPr>
          <w:ilvl w:val="0"/>
          <w:numId w:val="24"/>
        </w:numPr>
        <w:rPr>
          <w:rFonts w:ascii="Verdana" w:hAnsi="Verdana"/>
        </w:rPr>
      </w:pPr>
      <w:r w:rsidRPr="00F43F87">
        <w:rPr>
          <w:rFonts w:ascii="Verdana" w:hAnsi="Verdana"/>
        </w:rPr>
        <w:t>insufficient availability of personal assistance services;</w:t>
      </w:r>
    </w:p>
    <w:p w14:paraId="541FC9DE" w14:textId="2957E4F5" w:rsidR="004D7E8E" w:rsidRPr="004D7E8E" w:rsidRDefault="004D7E8E" w:rsidP="004D7E8E">
      <w:pPr>
        <w:pStyle w:val="ListParagraph"/>
        <w:rPr>
          <w:rFonts w:ascii="Verdana" w:hAnsi="Verdana"/>
        </w:rPr>
      </w:pPr>
    </w:p>
    <w:p w14:paraId="03400479" w14:textId="41E2C339" w:rsidR="00F13662" w:rsidRDefault="00F13662" w:rsidP="002C3ACE">
      <w:pPr>
        <w:pStyle w:val="ListParagraph"/>
        <w:numPr>
          <w:ilvl w:val="0"/>
          <w:numId w:val="24"/>
        </w:numPr>
        <w:rPr>
          <w:rFonts w:ascii="Verdana" w:hAnsi="Verdana"/>
        </w:rPr>
      </w:pPr>
      <w:r w:rsidRPr="00F43F87">
        <w:rPr>
          <w:rFonts w:ascii="Verdana" w:hAnsi="Verdana"/>
        </w:rPr>
        <w:t>greater financial resources for institutional services than community-based services;</w:t>
      </w:r>
    </w:p>
    <w:p w14:paraId="5ABE34E1" w14:textId="2D66D549" w:rsidR="004D7E8E" w:rsidRPr="004D7E8E" w:rsidRDefault="004D7E8E" w:rsidP="004D7E8E">
      <w:pPr>
        <w:pStyle w:val="ListParagraph"/>
        <w:rPr>
          <w:rFonts w:ascii="Verdana" w:hAnsi="Verdana"/>
        </w:rPr>
      </w:pPr>
    </w:p>
    <w:p w14:paraId="6BC01E9C" w14:textId="5CC3E8D9" w:rsidR="00F13662" w:rsidRDefault="00F13662" w:rsidP="002C3ACE">
      <w:pPr>
        <w:pStyle w:val="ListParagraph"/>
        <w:numPr>
          <w:ilvl w:val="0"/>
          <w:numId w:val="24"/>
        </w:numPr>
        <w:rPr>
          <w:rFonts w:ascii="Verdana" w:hAnsi="Verdana"/>
        </w:rPr>
      </w:pPr>
      <w:r w:rsidRPr="00F43F87">
        <w:rPr>
          <w:rFonts w:ascii="Verdana" w:hAnsi="Verdana"/>
        </w:rPr>
        <w:t>means testing of benefits, which impedes the right to live in the community with an adequate standard of living;</w:t>
      </w:r>
      <w:r w:rsidRPr="00F43F87">
        <w:rPr>
          <w:rFonts w:ascii="Verdana" w:hAnsi="Verdana"/>
          <w:vertAlign w:val="superscript"/>
        </w:rPr>
        <w:endnoteReference w:id="23"/>
      </w:r>
    </w:p>
    <w:p w14:paraId="11B83ABE" w14:textId="175B4257" w:rsidR="004D7E8E" w:rsidRPr="004D7E8E" w:rsidRDefault="004D7E8E" w:rsidP="004D7E8E">
      <w:pPr>
        <w:pStyle w:val="ListParagraph"/>
        <w:rPr>
          <w:rFonts w:ascii="Verdana" w:hAnsi="Verdana"/>
        </w:rPr>
      </w:pPr>
    </w:p>
    <w:p w14:paraId="3F5BA39E" w14:textId="4DF4B1CD" w:rsidR="00F13662" w:rsidRDefault="00F13662" w:rsidP="002C3ACE">
      <w:pPr>
        <w:pStyle w:val="ListParagraph"/>
        <w:numPr>
          <w:ilvl w:val="0"/>
          <w:numId w:val="24"/>
        </w:numPr>
        <w:rPr>
          <w:rFonts w:ascii="Verdana" w:hAnsi="Verdana"/>
        </w:rPr>
      </w:pPr>
      <w:r w:rsidRPr="00F43F87">
        <w:rPr>
          <w:rFonts w:ascii="Verdana" w:hAnsi="Verdana"/>
        </w:rPr>
        <w:t>absence of adequately funded strategies for independent living and/or deinstitutionalisation.</w:t>
      </w:r>
      <w:r w:rsidRPr="00F43F87">
        <w:rPr>
          <w:rFonts w:ascii="Verdana" w:hAnsi="Verdana"/>
          <w:vertAlign w:val="superscript"/>
        </w:rPr>
        <w:endnoteReference w:id="24"/>
      </w:r>
    </w:p>
    <w:p w14:paraId="781B64BD" w14:textId="77777777" w:rsidR="00F61D76" w:rsidRPr="00F43F87" w:rsidRDefault="00F61D76" w:rsidP="00F61D76">
      <w:pPr>
        <w:pStyle w:val="ListParagraph"/>
        <w:rPr>
          <w:rFonts w:ascii="Verdana" w:hAnsi="Verdana"/>
        </w:rPr>
      </w:pPr>
    </w:p>
    <w:p w14:paraId="1C758947" w14:textId="1CB9A7EF" w:rsidR="00F13662" w:rsidRDefault="00F13662" w:rsidP="002C3ACE">
      <w:pPr>
        <w:rPr>
          <w:rFonts w:ascii="Verdana" w:hAnsi="Verdana"/>
        </w:rPr>
      </w:pPr>
      <w:r w:rsidRPr="00F43F87">
        <w:rPr>
          <w:rFonts w:ascii="Verdana" w:hAnsi="Verdana"/>
        </w:rPr>
        <w:t xml:space="preserve">Concrete actions to follow up the </w:t>
      </w:r>
      <w:r w:rsidR="0031362B" w:rsidRPr="00F43F87">
        <w:rPr>
          <w:rFonts w:ascii="Verdana" w:hAnsi="Verdana"/>
        </w:rPr>
        <w:t>CRPD </w:t>
      </w:r>
      <w:r w:rsidRPr="00F43F87">
        <w:rPr>
          <w:rFonts w:ascii="Verdana" w:hAnsi="Verdana"/>
        </w:rPr>
        <w:t xml:space="preserve">Committee’s recommendations on how to address the gap between standard and reality will show how far the Member States are committed to fulfilling their </w:t>
      </w:r>
      <w:r w:rsidR="0031362B" w:rsidRPr="00F43F87">
        <w:rPr>
          <w:rFonts w:ascii="Verdana" w:hAnsi="Verdana"/>
        </w:rPr>
        <w:t>CRPD </w:t>
      </w:r>
      <w:r w:rsidRPr="00F43F87">
        <w:rPr>
          <w:rFonts w:ascii="Verdana" w:hAnsi="Verdana"/>
        </w:rPr>
        <w:t>obligations.</w:t>
      </w:r>
    </w:p>
    <w:p w14:paraId="5C54F9AC" w14:textId="2E69A4C6" w:rsidR="004D7E8E" w:rsidRDefault="00F13662" w:rsidP="004D7E8E">
      <w:pPr>
        <w:pStyle w:val="Heading2"/>
      </w:pPr>
      <w:bookmarkStart w:id="19" w:name="_Toc485993647"/>
      <w:bookmarkStart w:id="20" w:name="_Toc485998452"/>
      <w:bookmarkStart w:id="21" w:name="_Toc486941438"/>
      <w:bookmarkStart w:id="22" w:name="_Toc500189297"/>
      <w:r w:rsidRPr="00CA7435">
        <w:lastRenderedPageBreak/>
        <w:t>European Structural and Investment Funds: committing to promote deinstitutionalisation</w:t>
      </w:r>
      <w:bookmarkEnd w:id="19"/>
      <w:bookmarkEnd w:id="20"/>
      <w:bookmarkEnd w:id="21"/>
      <w:bookmarkEnd w:id="22"/>
    </w:p>
    <w:p w14:paraId="52B33C4E" w14:textId="4D023565" w:rsidR="00F13662" w:rsidRPr="00F43F87" w:rsidRDefault="00F13662" w:rsidP="002C3ACE">
      <w:pPr>
        <w:rPr>
          <w:rFonts w:ascii="Verdana" w:hAnsi="Verdana"/>
        </w:rPr>
      </w:pPr>
      <w:r w:rsidRPr="00F43F87">
        <w:rPr>
          <w:rFonts w:ascii="Verdana" w:hAnsi="Verdana"/>
        </w:rPr>
        <w:t xml:space="preserve">The EU’s own acceptance of the </w:t>
      </w:r>
      <w:r w:rsidR="0031362B" w:rsidRPr="00F43F87">
        <w:rPr>
          <w:rFonts w:ascii="Verdana" w:hAnsi="Verdana"/>
        </w:rPr>
        <w:t>CRPD </w:t>
      </w:r>
      <w:r w:rsidRPr="00F43F87">
        <w:rPr>
          <w:rFonts w:ascii="Verdana" w:hAnsi="Verdana"/>
        </w:rPr>
        <w:t>gives it a particular role to play beyond helping to coordinate actions to implement the convention’s provisions.</w:t>
      </w:r>
      <w:r w:rsidRPr="00F43F87">
        <w:rPr>
          <w:rStyle w:val="EndnoteReference"/>
          <w:rFonts w:ascii="Verdana" w:hAnsi="Verdana"/>
        </w:rPr>
        <w:endnoteReference w:id="25"/>
      </w:r>
      <w:r w:rsidRPr="00F43F87">
        <w:rPr>
          <w:rFonts w:ascii="Verdana" w:hAnsi="Verdana"/>
        </w:rPr>
        <w:t xml:space="preserve"> Currently, the most significant example of the EU’s obligations under the </w:t>
      </w:r>
      <w:r w:rsidR="0031362B" w:rsidRPr="00F43F87">
        <w:rPr>
          <w:rFonts w:ascii="Verdana" w:hAnsi="Verdana"/>
        </w:rPr>
        <w:t>CRPD </w:t>
      </w:r>
      <w:r w:rsidRPr="00F43F87">
        <w:rPr>
          <w:rFonts w:ascii="Verdana" w:hAnsi="Verdana"/>
        </w:rPr>
        <w:t>concerning deinstitutionalisation is ESIF.</w:t>
      </w:r>
      <w:r w:rsidRPr="00F43F87">
        <w:rPr>
          <w:rStyle w:val="EndnoteReference"/>
          <w:rFonts w:ascii="Verdana" w:hAnsi="Verdana"/>
        </w:rPr>
        <w:endnoteReference w:id="26"/>
      </w:r>
      <w:r w:rsidRPr="00F43F87">
        <w:rPr>
          <w:rFonts w:ascii="Verdana" w:hAnsi="Verdana"/>
        </w:rPr>
        <w:t xml:space="preserve"> ESIF account for over half of </w:t>
      </w:r>
      <w:r w:rsidR="0031362B" w:rsidRPr="00F43F87">
        <w:rPr>
          <w:rFonts w:ascii="Verdana" w:hAnsi="Verdana"/>
        </w:rPr>
        <w:t>EU </w:t>
      </w:r>
      <w:r w:rsidRPr="00F43F87">
        <w:rPr>
          <w:rFonts w:ascii="Verdana" w:hAnsi="Verdana"/>
        </w:rPr>
        <w:t xml:space="preserve">funding and are the main financial instruments through which the </w:t>
      </w:r>
      <w:r w:rsidR="0031362B" w:rsidRPr="00F43F87">
        <w:rPr>
          <w:rFonts w:ascii="Verdana" w:hAnsi="Verdana"/>
        </w:rPr>
        <w:t>EU </w:t>
      </w:r>
      <w:r w:rsidRPr="00F43F87">
        <w:rPr>
          <w:rFonts w:ascii="Verdana" w:hAnsi="Verdana"/>
        </w:rPr>
        <w:t>invests in job creation and a sustainable and healthy European economy and environment.</w:t>
      </w:r>
      <w:r w:rsidRPr="00F43F87">
        <w:rPr>
          <w:rStyle w:val="EndnoteReference"/>
          <w:rFonts w:ascii="Verdana" w:hAnsi="Verdana"/>
        </w:rPr>
        <w:endnoteReference w:id="27"/>
      </w:r>
      <w:r w:rsidRPr="00F43F87">
        <w:rPr>
          <w:rFonts w:ascii="Verdana" w:hAnsi="Verdana"/>
        </w:rPr>
        <w:t xml:space="preserve"> The European Commission and the Member States manage them jointly. However, the European Commission “has the responsibility to ensure that the Member States’ operational programmes comply with </w:t>
      </w:r>
      <w:r w:rsidR="0031362B" w:rsidRPr="00F43F87">
        <w:rPr>
          <w:rFonts w:ascii="Verdana" w:hAnsi="Verdana"/>
        </w:rPr>
        <w:t>EU </w:t>
      </w:r>
      <w:r w:rsidRPr="00F43F87">
        <w:rPr>
          <w:rFonts w:ascii="Verdana" w:hAnsi="Verdana"/>
        </w:rPr>
        <w:t xml:space="preserve">law, including </w:t>
      </w:r>
      <w:r w:rsidR="0031362B" w:rsidRPr="00F43F87">
        <w:rPr>
          <w:rFonts w:ascii="Verdana" w:hAnsi="Verdana"/>
        </w:rPr>
        <w:t>EU </w:t>
      </w:r>
      <w:r w:rsidRPr="00F43F87">
        <w:rPr>
          <w:rFonts w:ascii="Verdana" w:hAnsi="Verdana"/>
        </w:rPr>
        <w:t>legislation and the CRPD”.</w:t>
      </w:r>
      <w:r w:rsidRPr="00F43F87">
        <w:rPr>
          <w:rStyle w:val="EndnoteReference"/>
          <w:rFonts w:ascii="Verdana" w:hAnsi="Verdana"/>
        </w:rPr>
        <w:endnoteReference w:id="28"/>
      </w:r>
    </w:p>
    <w:p w14:paraId="151E6684" w14:textId="1330AA53" w:rsidR="00F13662" w:rsidRPr="00F43F87" w:rsidRDefault="00F13662" w:rsidP="002C3ACE">
      <w:pPr>
        <w:rPr>
          <w:rFonts w:ascii="Verdana" w:hAnsi="Verdana"/>
        </w:rPr>
      </w:pPr>
      <w:r w:rsidRPr="00F43F87">
        <w:rPr>
          <w:rFonts w:ascii="Verdana" w:hAnsi="Verdana"/>
        </w:rPr>
        <w:t>Following criticism of ESIF for funding the construction of new institutions or renovation of existing institutions,</w:t>
      </w:r>
      <w:r w:rsidRPr="00F43F87">
        <w:rPr>
          <w:rStyle w:val="EndnoteReference"/>
          <w:rFonts w:ascii="Verdana" w:hAnsi="Verdana"/>
        </w:rPr>
        <w:endnoteReference w:id="29"/>
      </w:r>
      <w:r w:rsidRPr="00F43F87">
        <w:rPr>
          <w:rFonts w:ascii="Verdana" w:hAnsi="Verdana"/>
        </w:rPr>
        <w:t xml:space="preserve"> the regulation governing ESIF for 2014–2020 includes specific protections to ensure that funds are used to support deinstitutionalisation. This built on an earlier policy commitment in the European Disability Strategy 2010–2020 to “promote the transition from institutional to community-based care by using [ESIF] to support the development of community-based services”.</w:t>
      </w:r>
      <w:r w:rsidRPr="00F43F87">
        <w:rPr>
          <w:rStyle w:val="EndnoteReference"/>
          <w:rFonts w:ascii="Verdana" w:hAnsi="Verdana"/>
        </w:rPr>
        <w:endnoteReference w:id="30"/>
      </w:r>
      <w:r w:rsidRPr="00F43F87">
        <w:rPr>
          <w:rFonts w:ascii="Verdana" w:hAnsi="Verdana"/>
        </w:rPr>
        <w:t xml:space="preserve"> These additions are an important signal of the </w:t>
      </w:r>
      <w:r w:rsidR="0031362B" w:rsidRPr="00F43F87">
        <w:rPr>
          <w:rFonts w:ascii="Verdana" w:hAnsi="Verdana"/>
        </w:rPr>
        <w:t>EU </w:t>
      </w:r>
      <w:r w:rsidRPr="00F43F87">
        <w:rPr>
          <w:rFonts w:ascii="Verdana" w:hAnsi="Verdana"/>
        </w:rPr>
        <w:t>embedding its commitment to promoting deinstitutionalisation within law and policy.</w:t>
      </w:r>
    </w:p>
    <w:p w14:paraId="2C0AC147" w14:textId="6929D968" w:rsidR="00F13662" w:rsidRPr="00F43F87" w:rsidRDefault="00F13662" w:rsidP="002C3ACE">
      <w:pPr>
        <w:rPr>
          <w:rFonts w:ascii="Verdana" w:hAnsi="Verdana"/>
        </w:rPr>
      </w:pPr>
      <w:r w:rsidRPr="00F43F87">
        <w:rPr>
          <w:rFonts w:ascii="Verdana" w:hAnsi="Verdana"/>
        </w:rPr>
        <w:t>The central aspect of the commitment to promoting deinstitutionalisation in the ESIF regulation takes the form of a so-called ‘ex ante conditionality’, a requirement that must be met before funds can be disbursed. Linked to the objective of active inclusion, a specific condition requires Member States to show that their national policies to reduce poverty include “measures for the shift from institutional to community based care”, where relevant needs have been identified.</w:t>
      </w:r>
      <w:r w:rsidRPr="00F43F87">
        <w:rPr>
          <w:rStyle w:val="EndnoteReference"/>
          <w:rFonts w:ascii="Verdana" w:hAnsi="Verdana"/>
        </w:rPr>
        <w:endnoteReference w:id="31"/>
      </w:r>
      <w:r w:rsidRPr="00F43F87">
        <w:rPr>
          <w:rFonts w:ascii="Verdana" w:hAnsi="Verdana"/>
        </w:rPr>
        <w:t xml:space="preserve"> Further guidance from the European Commission clarifies the scope of ‘relevant needs’ as covering those Member States where “the shift to community-based care has not yet been completed”.</w:t>
      </w:r>
      <w:r w:rsidRPr="00F43F87">
        <w:rPr>
          <w:rStyle w:val="EndnoteReference"/>
          <w:rFonts w:ascii="Verdana" w:hAnsi="Verdana"/>
        </w:rPr>
        <w:endnoteReference w:id="32"/>
      </w:r>
    </w:p>
    <w:p w14:paraId="35A01B33" w14:textId="4986C346" w:rsidR="00F13662" w:rsidRPr="00F43F87" w:rsidRDefault="00F13662" w:rsidP="002C3ACE">
      <w:pPr>
        <w:rPr>
          <w:rFonts w:ascii="Verdana" w:hAnsi="Verdana"/>
        </w:rPr>
      </w:pPr>
      <w:r w:rsidRPr="00F43F87">
        <w:rPr>
          <w:rFonts w:ascii="Verdana" w:hAnsi="Verdana"/>
        </w:rPr>
        <w:t xml:space="preserve">For 2014–2020, the European Commission identified a need for measures for the shift from institutional to community-based care </w:t>
      </w:r>
      <w:r w:rsidR="00ED1CB2" w:rsidRPr="00F43F87">
        <w:rPr>
          <w:rFonts w:ascii="Verdana" w:hAnsi="Verdana"/>
        </w:rPr>
        <w:t>in 12 </w:t>
      </w:r>
      <w:r w:rsidR="0031362B" w:rsidRPr="00F43F87">
        <w:rPr>
          <w:rFonts w:ascii="Verdana" w:hAnsi="Verdana"/>
        </w:rPr>
        <w:t>EU </w:t>
      </w:r>
      <w:r w:rsidRPr="00F43F87">
        <w:rPr>
          <w:rFonts w:ascii="Verdana" w:hAnsi="Verdana"/>
        </w:rPr>
        <w:t xml:space="preserve">Member States: </w:t>
      </w:r>
      <w:r w:rsidRPr="00F43F87">
        <w:rPr>
          <w:rFonts w:ascii="Verdana" w:hAnsi="Verdana"/>
          <w:b/>
        </w:rPr>
        <w:t>Bulgaria</w:t>
      </w:r>
      <w:r w:rsidRPr="00CA7435">
        <w:rPr>
          <w:rFonts w:ascii="Verdana" w:hAnsi="Verdana"/>
        </w:rPr>
        <w:t>,</w:t>
      </w:r>
      <w:r w:rsidRPr="00F43F87">
        <w:rPr>
          <w:rFonts w:ascii="Verdana" w:hAnsi="Verdana"/>
          <w:b/>
        </w:rPr>
        <w:t xml:space="preserve"> Croatia</w:t>
      </w:r>
      <w:r w:rsidRPr="00CA7435">
        <w:rPr>
          <w:rFonts w:ascii="Verdana" w:hAnsi="Verdana"/>
        </w:rPr>
        <w:t>,</w:t>
      </w:r>
      <w:r w:rsidRPr="00F43F87">
        <w:rPr>
          <w:rFonts w:ascii="Verdana" w:hAnsi="Verdana"/>
          <w:b/>
        </w:rPr>
        <w:t xml:space="preserve"> the Czech Republic</w:t>
      </w:r>
      <w:r w:rsidRPr="00CA7435">
        <w:rPr>
          <w:rFonts w:ascii="Verdana" w:hAnsi="Verdana"/>
        </w:rPr>
        <w:t>,</w:t>
      </w:r>
      <w:r w:rsidRPr="00F43F87">
        <w:rPr>
          <w:rFonts w:ascii="Verdana" w:hAnsi="Verdana"/>
          <w:b/>
        </w:rPr>
        <w:t xml:space="preserve"> Estonia</w:t>
      </w:r>
      <w:r w:rsidRPr="00CA7435">
        <w:rPr>
          <w:rFonts w:ascii="Verdana" w:hAnsi="Verdana"/>
        </w:rPr>
        <w:t>,</w:t>
      </w:r>
      <w:r w:rsidRPr="00F43F87">
        <w:rPr>
          <w:rFonts w:ascii="Verdana" w:hAnsi="Verdana"/>
          <w:b/>
        </w:rPr>
        <w:t xml:space="preserve"> Greece</w:t>
      </w:r>
      <w:r w:rsidRPr="00CA7435">
        <w:rPr>
          <w:rFonts w:ascii="Verdana" w:hAnsi="Verdana"/>
        </w:rPr>
        <w:t>,</w:t>
      </w:r>
      <w:r w:rsidRPr="00F43F87">
        <w:rPr>
          <w:rFonts w:ascii="Verdana" w:hAnsi="Verdana"/>
          <w:b/>
        </w:rPr>
        <w:t xml:space="preserve"> Hungary</w:t>
      </w:r>
      <w:r w:rsidRPr="00CA7435">
        <w:rPr>
          <w:rFonts w:ascii="Verdana" w:hAnsi="Verdana"/>
        </w:rPr>
        <w:t>,</w:t>
      </w:r>
      <w:r w:rsidRPr="00F43F87">
        <w:rPr>
          <w:rFonts w:ascii="Verdana" w:hAnsi="Verdana"/>
          <w:b/>
        </w:rPr>
        <w:t xml:space="preserve"> Latvia</w:t>
      </w:r>
      <w:r w:rsidRPr="00CA7435">
        <w:rPr>
          <w:rFonts w:ascii="Verdana" w:hAnsi="Verdana"/>
        </w:rPr>
        <w:t>,</w:t>
      </w:r>
      <w:r w:rsidRPr="00F43F87">
        <w:rPr>
          <w:rFonts w:ascii="Verdana" w:hAnsi="Verdana"/>
          <w:b/>
        </w:rPr>
        <w:t xml:space="preserve"> Lithuania</w:t>
      </w:r>
      <w:r w:rsidRPr="00CA7435">
        <w:rPr>
          <w:rFonts w:ascii="Verdana" w:hAnsi="Verdana"/>
        </w:rPr>
        <w:t>,</w:t>
      </w:r>
      <w:r w:rsidRPr="00F43F87">
        <w:rPr>
          <w:rFonts w:ascii="Verdana" w:hAnsi="Verdana"/>
          <w:b/>
        </w:rPr>
        <w:t xml:space="preserve"> Poland, Romania</w:t>
      </w:r>
      <w:r w:rsidRPr="00CA7435">
        <w:rPr>
          <w:rFonts w:ascii="Verdana" w:hAnsi="Verdana"/>
        </w:rPr>
        <w:t>,</w:t>
      </w:r>
      <w:r w:rsidRPr="00F43F87">
        <w:rPr>
          <w:rFonts w:ascii="Verdana" w:hAnsi="Verdana"/>
          <w:b/>
        </w:rPr>
        <w:t xml:space="preserve"> Slovakia </w:t>
      </w:r>
      <w:r w:rsidRPr="00F43F87">
        <w:rPr>
          <w:rFonts w:ascii="Verdana" w:hAnsi="Verdana"/>
        </w:rPr>
        <w:t xml:space="preserve">and </w:t>
      </w:r>
      <w:r w:rsidRPr="00F43F87">
        <w:rPr>
          <w:rFonts w:ascii="Verdana" w:hAnsi="Verdana"/>
          <w:b/>
        </w:rPr>
        <w:t xml:space="preserve">Slovenia. </w:t>
      </w:r>
      <w:r w:rsidRPr="00F43F87">
        <w:rPr>
          <w:rFonts w:ascii="Verdana" w:hAnsi="Verdana"/>
        </w:rPr>
        <w:t>In a further five Member States (</w:t>
      </w:r>
      <w:r w:rsidRPr="00F43F87">
        <w:rPr>
          <w:rFonts w:ascii="Verdana" w:hAnsi="Verdana"/>
          <w:b/>
        </w:rPr>
        <w:t>Denmark</w:t>
      </w:r>
      <w:r w:rsidRPr="00F43F87">
        <w:rPr>
          <w:rFonts w:ascii="Verdana" w:hAnsi="Verdana"/>
        </w:rPr>
        <w:t xml:space="preserve">, </w:t>
      </w:r>
      <w:r w:rsidRPr="00F43F87">
        <w:rPr>
          <w:rFonts w:ascii="Verdana" w:hAnsi="Verdana"/>
          <w:b/>
        </w:rPr>
        <w:t>Ireland</w:t>
      </w:r>
      <w:r w:rsidRPr="00F43F87">
        <w:rPr>
          <w:rFonts w:ascii="Verdana" w:hAnsi="Verdana"/>
        </w:rPr>
        <w:t xml:space="preserve">, </w:t>
      </w:r>
      <w:r w:rsidRPr="00F43F87">
        <w:rPr>
          <w:rFonts w:ascii="Verdana" w:hAnsi="Verdana"/>
          <w:b/>
        </w:rPr>
        <w:t>Malta</w:t>
      </w:r>
      <w:r w:rsidRPr="00CA7435">
        <w:rPr>
          <w:rFonts w:ascii="Verdana" w:hAnsi="Verdana"/>
        </w:rPr>
        <w:t>,</w:t>
      </w:r>
      <w:r w:rsidRPr="00F43F87">
        <w:rPr>
          <w:rFonts w:ascii="Verdana" w:hAnsi="Verdana"/>
        </w:rPr>
        <w:t xml:space="preserve"> </w:t>
      </w:r>
      <w:r w:rsidRPr="00F43F87">
        <w:rPr>
          <w:rFonts w:ascii="Verdana" w:hAnsi="Verdana"/>
          <w:b/>
        </w:rPr>
        <w:t xml:space="preserve">Portugal </w:t>
      </w:r>
      <w:r w:rsidRPr="00F43F87">
        <w:rPr>
          <w:rFonts w:ascii="Verdana" w:hAnsi="Verdana"/>
        </w:rPr>
        <w:t xml:space="preserve">and </w:t>
      </w:r>
      <w:r w:rsidRPr="00F43F87">
        <w:rPr>
          <w:rFonts w:ascii="Verdana" w:hAnsi="Verdana"/>
          <w:b/>
        </w:rPr>
        <w:t>Spain</w:t>
      </w:r>
      <w:r w:rsidRPr="00F43F87">
        <w:rPr>
          <w:rFonts w:ascii="Verdana" w:hAnsi="Verdana"/>
        </w:rPr>
        <w:t xml:space="preserve">), partnership agreements contain a commitment to deinstitutionalisation and identify measures to support the process, FRA’s review of 2014–2020 partnership agreements between the European Commission and individual </w:t>
      </w:r>
      <w:r w:rsidR="0031362B" w:rsidRPr="00F43F87">
        <w:rPr>
          <w:rFonts w:ascii="Verdana" w:hAnsi="Verdana"/>
        </w:rPr>
        <w:t>EU </w:t>
      </w:r>
      <w:r w:rsidRPr="00F43F87">
        <w:rPr>
          <w:rFonts w:ascii="Verdana" w:hAnsi="Verdana"/>
        </w:rPr>
        <w:t>countries reveals.</w:t>
      </w:r>
      <w:r w:rsidRPr="00F43F87">
        <w:rPr>
          <w:rStyle w:val="EndnoteReference"/>
          <w:rFonts w:ascii="Verdana" w:hAnsi="Verdana"/>
        </w:rPr>
        <w:endnoteReference w:id="33"/>
      </w:r>
      <w:r w:rsidRPr="00F43F87">
        <w:rPr>
          <w:rFonts w:ascii="Verdana" w:hAnsi="Verdana"/>
        </w:rPr>
        <w:t xml:space="preserve"> The annual country-specific recommendations prepared by the European Commission may include further measures relating to deinstitutionalisation. These aim to support </w:t>
      </w:r>
      <w:r w:rsidR="0031362B" w:rsidRPr="00F43F87">
        <w:rPr>
          <w:rFonts w:ascii="Verdana" w:hAnsi="Verdana"/>
        </w:rPr>
        <w:t>EU </w:t>
      </w:r>
      <w:r w:rsidRPr="00F43F87">
        <w:rPr>
          <w:rFonts w:ascii="Verdana" w:hAnsi="Verdana"/>
        </w:rPr>
        <w:t>Member States to reach their targets under the Europe 2020 strategy for smart, sustainable and inclusive growth.</w:t>
      </w:r>
      <w:r w:rsidRPr="00F43F87">
        <w:rPr>
          <w:rStyle w:val="EndnoteReference"/>
          <w:rFonts w:ascii="Verdana" w:hAnsi="Verdana"/>
        </w:rPr>
        <w:endnoteReference w:id="34"/>
      </w:r>
    </w:p>
    <w:p w14:paraId="6FF3EF82" w14:textId="4AA6EBE6" w:rsidR="00F13662" w:rsidRPr="00F43F87" w:rsidRDefault="00F13662" w:rsidP="002C3ACE">
      <w:pPr>
        <w:rPr>
          <w:rFonts w:ascii="Verdana" w:hAnsi="Verdana"/>
        </w:rPr>
      </w:pPr>
      <w:r w:rsidRPr="00F43F87">
        <w:rPr>
          <w:rFonts w:ascii="Verdana" w:hAnsi="Verdana"/>
        </w:rPr>
        <w:t xml:space="preserve">The nature of the reference to deinstitutionalisation varies widely, however. Some partnership agreements, such as that with </w:t>
      </w:r>
      <w:r w:rsidRPr="00F43F87">
        <w:rPr>
          <w:rFonts w:ascii="Verdana" w:hAnsi="Verdana"/>
          <w:b/>
        </w:rPr>
        <w:t>Croatia</w:t>
      </w:r>
      <w:r w:rsidRPr="00F43F87">
        <w:rPr>
          <w:rFonts w:ascii="Verdana" w:hAnsi="Verdana"/>
        </w:rPr>
        <w:t xml:space="preserve">, are very detailed, list </w:t>
      </w:r>
      <w:r w:rsidRPr="00F43F87">
        <w:rPr>
          <w:rFonts w:ascii="Verdana" w:hAnsi="Verdana"/>
        </w:rPr>
        <w:lastRenderedPageBreak/>
        <w:t>wide-ranging measures and allocate specific budgets. Others – for example, those with</w:t>
      </w:r>
      <w:r w:rsidRPr="00F43F87">
        <w:rPr>
          <w:rFonts w:ascii="Verdana" w:hAnsi="Verdana"/>
          <w:b/>
        </w:rPr>
        <w:t xml:space="preserve"> Hungary</w:t>
      </w:r>
      <w:r w:rsidRPr="00F43F87">
        <w:rPr>
          <w:rFonts w:ascii="Verdana" w:hAnsi="Verdana"/>
        </w:rPr>
        <w:t>,</w:t>
      </w:r>
      <w:r w:rsidRPr="00F43F87">
        <w:rPr>
          <w:rFonts w:ascii="Verdana" w:hAnsi="Verdana"/>
          <w:b/>
        </w:rPr>
        <w:t xml:space="preserve"> Ireland</w:t>
      </w:r>
      <w:r w:rsidRPr="00F43F87">
        <w:rPr>
          <w:rFonts w:ascii="Verdana" w:hAnsi="Verdana"/>
        </w:rPr>
        <w:t xml:space="preserve"> and</w:t>
      </w:r>
      <w:r w:rsidRPr="00F43F87">
        <w:rPr>
          <w:rFonts w:ascii="Verdana" w:hAnsi="Verdana"/>
          <w:b/>
        </w:rPr>
        <w:t xml:space="preserve"> Romania</w:t>
      </w:r>
      <w:r w:rsidRPr="00F43F87">
        <w:rPr>
          <w:rFonts w:ascii="Verdana" w:hAnsi="Verdana"/>
        </w:rPr>
        <w:t xml:space="preserve"> – take a more general approach. In a third group, including </w:t>
      </w:r>
      <w:r w:rsidRPr="00F43F87">
        <w:rPr>
          <w:rFonts w:ascii="Verdana" w:hAnsi="Verdana"/>
          <w:b/>
        </w:rPr>
        <w:t xml:space="preserve">Bulgaria </w:t>
      </w:r>
      <w:r w:rsidRPr="00F43F87">
        <w:rPr>
          <w:rFonts w:ascii="Verdana" w:hAnsi="Verdana"/>
        </w:rPr>
        <w:t>and</w:t>
      </w:r>
      <w:r w:rsidRPr="00F43F87">
        <w:rPr>
          <w:rFonts w:ascii="Verdana" w:hAnsi="Verdana"/>
          <w:b/>
        </w:rPr>
        <w:t xml:space="preserve"> </w:t>
      </w:r>
      <w:r w:rsidRPr="00F43F87">
        <w:rPr>
          <w:rFonts w:ascii="Verdana" w:hAnsi="Verdana"/>
        </w:rPr>
        <w:t xml:space="preserve">the </w:t>
      </w:r>
      <w:r w:rsidRPr="00F43F87">
        <w:rPr>
          <w:rFonts w:ascii="Verdana" w:hAnsi="Verdana"/>
          <w:b/>
        </w:rPr>
        <w:t>Czech Republic</w:t>
      </w:r>
      <w:r w:rsidRPr="00F43F87">
        <w:rPr>
          <w:rFonts w:ascii="Verdana" w:hAnsi="Verdana"/>
        </w:rPr>
        <w:t>, there are general commitments in partnership agreements, supplemented by specific measures in the respective operational programmes.</w:t>
      </w:r>
    </w:p>
    <w:p w14:paraId="70F5F488" w14:textId="2ECE98DC" w:rsidR="00F13662" w:rsidRPr="00F43F87" w:rsidRDefault="00F13662" w:rsidP="002C3ACE">
      <w:pPr>
        <w:rPr>
          <w:rFonts w:ascii="Verdana" w:hAnsi="Verdana"/>
        </w:rPr>
      </w:pPr>
      <w:r w:rsidRPr="00F43F87">
        <w:rPr>
          <w:rFonts w:ascii="Verdana" w:hAnsi="Verdana"/>
        </w:rPr>
        <w:t xml:space="preserve">Partnership agreements with </w:t>
      </w:r>
      <w:r w:rsidRPr="00F43F87">
        <w:rPr>
          <w:rFonts w:ascii="Verdana" w:hAnsi="Verdana"/>
          <w:b/>
        </w:rPr>
        <w:t>Greece</w:t>
      </w:r>
      <w:r w:rsidRPr="00F43F87">
        <w:rPr>
          <w:rFonts w:ascii="Verdana" w:hAnsi="Verdana"/>
        </w:rPr>
        <w:t xml:space="preserve"> and </w:t>
      </w:r>
      <w:r w:rsidRPr="00F43F87">
        <w:rPr>
          <w:rFonts w:ascii="Verdana" w:hAnsi="Verdana"/>
          <w:b/>
        </w:rPr>
        <w:t xml:space="preserve">Spain </w:t>
      </w:r>
      <w:r w:rsidRPr="00F43F87">
        <w:rPr>
          <w:rFonts w:ascii="Verdana" w:hAnsi="Verdana"/>
        </w:rPr>
        <w:t>refer to deinstitutionalisation but remain vague about specific activities in support of the transition process. For example, the Greek Partnership Agreement makes an indirect reference to actions related to the transition from institutional to community-based care. It refers to the need to fulfil obligations arising from the Memorandum of Cooperation signed between the Commissioner for Employment and the Minister of Health covering 2014 and 2015. This memorandum addresses issues related to access to health services, in particular mental health services, for people with limited resources, people in remote areas, people from vulnerable groups and uninsured citizens.</w:t>
      </w:r>
      <w:r w:rsidRPr="00F43F87">
        <w:rPr>
          <w:rFonts w:ascii="Verdana" w:hAnsi="Verdana"/>
          <w:vertAlign w:val="superscript"/>
        </w:rPr>
        <w:endnoteReference w:id="35"/>
      </w:r>
    </w:p>
    <w:p w14:paraId="26B2FD4B" w14:textId="67E5660A" w:rsidR="00F13662" w:rsidRPr="00F43F87" w:rsidRDefault="00F13662" w:rsidP="002C3ACE">
      <w:pPr>
        <w:rPr>
          <w:rFonts w:ascii="Verdana" w:hAnsi="Verdana"/>
        </w:rPr>
      </w:pPr>
      <w:r w:rsidRPr="00F43F87">
        <w:rPr>
          <w:rFonts w:ascii="Verdana" w:hAnsi="Verdana"/>
        </w:rPr>
        <w:t xml:space="preserve">The remaining 11 </w:t>
      </w:r>
      <w:r w:rsidR="0031362B" w:rsidRPr="00F43F87">
        <w:rPr>
          <w:rFonts w:ascii="Verdana" w:hAnsi="Verdana"/>
        </w:rPr>
        <w:t>EU </w:t>
      </w:r>
      <w:r w:rsidRPr="00F43F87">
        <w:rPr>
          <w:rFonts w:ascii="Verdana" w:hAnsi="Verdana"/>
        </w:rPr>
        <w:t>Member States do not specifically address the transition from institutional to community-based care in partnership agreements. This means that they will not use money from ESIF to support the process, rather than that no deinstitutionalisation measures are in place.</w:t>
      </w:r>
      <w:r w:rsidR="00CA7435">
        <w:rPr>
          <w:rFonts w:ascii="Verdana" w:hAnsi="Verdana"/>
        </w:rPr>
        <w:t xml:space="preserve"> </w:t>
      </w:r>
      <w:r w:rsidRPr="00F43F87">
        <w:rPr>
          <w:rFonts w:ascii="Verdana" w:hAnsi="Verdana"/>
        </w:rPr>
        <w:t xml:space="preserve">The </w:t>
      </w:r>
      <w:r w:rsidRPr="00F43F87">
        <w:rPr>
          <w:rFonts w:ascii="Verdana" w:hAnsi="Verdana"/>
          <w:b/>
        </w:rPr>
        <w:t>Finnish</w:t>
      </w:r>
      <w:r w:rsidR="00CA7435">
        <w:rPr>
          <w:rFonts w:ascii="Verdana" w:hAnsi="Verdana"/>
        </w:rPr>
        <w:t> </w:t>
      </w:r>
      <w:r w:rsidRPr="00F43F87">
        <w:rPr>
          <w:rFonts w:ascii="Verdana" w:hAnsi="Verdana"/>
        </w:rPr>
        <w:t>P</w:t>
      </w:r>
      <w:r w:rsidR="00CA7435">
        <w:rPr>
          <w:rFonts w:ascii="Verdana" w:hAnsi="Verdana"/>
        </w:rPr>
        <w:t>artnership </w:t>
      </w:r>
      <w:r w:rsidRPr="00F43F87">
        <w:rPr>
          <w:rFonts w:ascii="Verdana" w:hAnsi="Verdana"/>
        </w:rPr>
        <w:t>Agreement, for instance, makes no reference to deinstitutionalisation. However, the government has committed to ensuring that, by 2020, no persons with intellectual or developmental disabilities live in institutions.</w:t>
      </w:r>
      <w:r w:rsidRPr="00F43F87">
        <w:rPr>
          <w:rFonts w:ascii="Verdana" w:hAnsi="Verdana"/>
          <w:vertAlign w:val="superscript"/>
        </w:rPr>
        <w:endnoteReference w:id="36"/>
      </w:r>
      <w:r w:rsidRPr="00F43F87">
        <w:rPr>
          <w:rFonts w:ascii="Verdana" w:hAnsi="Verdana"/>
        </w:rPr>
        <w:t xml:space="preserve"> It has also put in place a housing programme to attain this goal.</w:t>
      </w:r>
      <w:r w:rsidRPr="00F43F87">
        <w:rPr>
          <w:rStyle w:val="EndnoteReference"/>
          <w:rFonts w:ascii="Verdana" w:hAnsi="Verdana"/>
        </w:rPr>
        <w:endnoteReference w:id="37"/>
      </w:r>
    </w:p>
    <w:p w14:paraId="3BABF1B3" w14:textId="6AEB0395" w:rsidR="00F13662" w:rsidRPr="00F43F87" w:rsidRDefault="00F13662" w:rsidP="002C3ACE">
      <w:pPr>
        <w:rPr>
          <w:rFonts w:ascii="Verdana" w:hAnsi="Verdana"/>
        </w:rPr>
      </w:pPr>
      <w:r w:rsidRPr="00F43F87">
        <w:rPr>
          <w:rFonts w:ascii="Verdana" w:hAnsi="Verdana"/>
        </w:rPr>
        <w:t>In addition, partnership agreements with most Member States identify specific concerns in relation to full participation and inclusion of people with disabilities. These concerns are linked to deinstitutionalisation in a wider sense. In addition to measures under thematic objective 9 on social inclusion, the agreements include specific actions to support objective 8 on sustainable and quality employment and objective 10 on investing in education and training.</w:t>
      </w:r>
    </w:p>
    <w:p w14:paraId="3DF0A30D" w14:textId="3E87BC77" w:rsidR="00F13662" w:rsidRDefault="00F13662" w:rsidP="002C3ACE">
      <w:pPr>
        <w:rPr>
          <w:rFonts w:ascii="Verdana" w:hAnsi="Verdana"/>
        </w:rPr>
      </w:pPr>
      <w:r w:rsidRPr="00F43F87">
        <w:rPr>
          <w:rFonts w:ascii="Verdana" w:hAnsi="Verdana"/>
        </w:rPr>
        <w:t>Nevertheless, concerns about the use of ESIF in the context of deinstitutionalisation persist.</w:t>
      </w:r>
      <w:r w:rsidRPr="00F43F87">
        <w:rPr>
          <w:rStyle w:val="EndnoteReference"/>
          <w:rFonts w:ascii="Verdana" w:hAnsi="Verdana"/>
        </w:rPr>
        <w:endnoteReference w:id="38"/>
      </w:r>
      <w:r w:rsidRPr="00F43F87">
        <w:rPr>
          <w:rFonts w:ascii="Verdana" w:hAnsi="Verdana"/>
        </w:rPr>
        <w:t xml:space="preserve"> In its assessment of the EU’s progress in implementing the CRPD, the </w:t>
      </w:r>
      <w:r w:rsidR="0031362B" w:rsidRPr="00F43F87">
        <w:rPr>
          <w:rFonts w:ascii="Verdana" w:hAnsi="Verdana"/>
        </w:rPr>
        <w:t>CRPD </w:t>
      </w:r>
      <w:r w:rsidRPr="00F43F87">
        <w:rPr>
          <w:rFonts w:ascii="Verdana" w:hAnsi="Verdana"/>
        </w:rPr>
        <w:t>Committee noted that “despite changes in regulations, [ESIF] continue to be used in different member States for the maintenance of residential institutions rather than for the development of support services for persons with disabilities in local communities.”</w:t>
      </w:r>
      <w:r w:rsidRPr="00F43F87">
        <w:rPr>
          <w:rStyle w:val="EndnoteReference"/>
          <w:rFonts w:ascii="Verdana" w:hAnsi="Verdana"/>
        </w:rPr>
        <w:endnoteReference w:id="39"/>
      </w:r>
      <w:r w:rsidRPr="00F43F87">
        <w:rPr>
          <w:rFonts w:ascii="Verdana" w:hAnsi="Verdana"/>
        </w:rPr>
        <w:t xml:space="preserve"> Its recommendations call for the </w:t>
      </w:r>
      <w:r w:rsidR="0031362B" w:rsidRPr="00F43F87">
        <w:rPr>
          <w:rFonts w:ascii="Verdana" w:hAnsi="Verdana"/>
        </w:rPr>
        <w:t>EU </w:t>
      </w:r>
      <w:r w:rsidRPr="00F43F87">
        <w:rPr>
          <w:rFonts w:ascii="Verdana" w:hAnsi="Verdana"/>
        </w:rPr>
        <w:t xml:space="preserve">to develop “an approach to guide and foster deinstitutionalization and to strengthen the monitoring of the use of [ESIF]”. It also urged the </w:t>
      </w:r>
      <w:r w:rsidR="0031362B" w:rsidRPr="00F43F87">
        <w:rPr>
          <w:rFonts w:ascii="Verdana" w:hAnsi="Verdana"/>
        </w:rPr>
        <w:t>EU </w:t>
      </w:r>
      <w:r w:rsidRPr="00F43F87">
        <w:rPr>
          <w:rFonts w:ascii="Verdana" w:hAnsi="Verdana"/>
        </w:rPr>
        <w:t>to “suspend, withdraw and recover payments if the obligation to respect fundamental rights is breached”.</w:t>
      </w:r>
      <w:r w:rsidRPr="00F43F87">
        <w:rPr>
          <w:rStyle w:val="EndnoteReference"/>
          <w:rFonts w:ascii="Verdana" w:hAnsi="Verdana"/>
        </w:rPr>
        <w:endnoteReference w:id="40"/>
      </w:r>
      <w:r w:rsidRPr="00F43F87">
        <w:rPr>
          <w:rFonts w:ascii="Verdana" w:hAnsi="Verdana"/>
        </w:rPr>
        <w:t xml:space="preserve"> As projects under the 2014–2020 funding period are rolled out, the EU’s response to this recommendation will come under particular focus.</w:t>
      </w:r>
      <w:r w:rsidRPr="00F43F87">
        <w:rPr>
          <w:rStyle w:val="EndnoteReference"/>
          <w:rFonts w:ascii="Verdana" w:hAnsi="Verdana"/>
        </w:rPr>
        <w:endnoteReference w:id="41"/>
      </w:r>
    </w:p>
    <w:p w14:paraId="67CD4D38" w14:textId="53E7A510" w:rsidR="003445D9" w:rsidRPr="003445D9" w:rsidRDefault="00F13662" w:rsidP="003445D9">
      <w:pPr>
        <w:pStyle w:val="Heading2"/>
      </w:pPr>
      <w:bookmarkStart w:id="23" w:name="_Toc485993648"/>
      <w:bookmarkStart w:id="24" w:name="_Toc485998453"/>
      <w:bookmarkStart w:id="25" w:name="_Toc486941439"/>
      <w:bookmarkStart w:id="26" w:name="_Toc500189298"/>
      <w:r w:rsidRPr="00CA7435">
        <w:lastRenderedPageBreak/>
        <w:t xml:space="preserve">National commitments: guiding deinstitutionalisation </w:t>
      </w:r>
      <w:bookmarkEnd w:id="23"/>
      <w:bookmarkEnd w:id="24"/>
      <w:r w:rsidRPr="00CA7435">
        <w:t>in Member States</w:t>
      </w:r>
      <w:bookmarkEnd w:id="25"/>
      <w:bookmarkEnd w:id="26"/>
    </w:p>
    <w:p w14:paraId="50C755C3" w14:textId="77777777" w:rsidR="00F13662" w:rsidRPr="00CA7435" w:rsidRDefault="00F13662" w:rsidP="00756EB2">
      <w:pPr>
        <w:rPr>
          <w:rFonts w:ascii="Verdana" w:hAnsi="Verdana"/>
          <w:i/>
          <w:color w:val="00565B"/>
        </w:rPr>
      </w:pPr>
      <w:r w:rsidRPr="00CA7435">
        <w:rPr>
          <w:rFonts w:ascii="Verdana" w:hAnsi="Verdana"/>
          <w:i/>
          <w:color w:val="00565B"/>
        </w:rPr>
        <w:t>“States parties have the immediate obligation to enter into strategic planning […] to replace any institutionalized settings with independent living support services. The margin of appreciation of States parties is related to the programmatic implementation but not to the question of replacement.”</w:t>
      </w:r>
    </w:p>
    <w:p w14:paraId="1FBEB05B" w14:textId="1756BEA7" w:rsidR="00F13662" w:rsidRPr="00D3783A" w:rsidRDefault="0031362B" w:rsidP="002C3ACE">
      <w:pPr>
        <w:rPr>
          <w:rFonts w:ascii="Verdana" w:hAnsi="Verdana"/>
          <w:i/>
          <w:sz w:val="18"/>
          <w:szCs w:val="18"/>
        </w:rPr>
      </w:pPr>
      <w:r w:rsidRPr="00D3783A">
        <w:rPr>
          <w:rFonts w:ascii="Verdana" w:hAnsi="Verdana"/>
          <w:i/>
          <w:sz w:val="18"/>
          <w:szCs w:val="18"/>
        </w:rPr>
        <w:t>CRPD </w:t>
      </w:r>
      <w:r w:rsidR="00F13662" w:rsidRPr="00D3783A">
        <w:rPr>
          <w:rFonts w:ascii="Verdana" w:hAnsi="Verdana"/>
          <w:i/>
          <w:sz w:val="18"/>
          <w:szCs w:val="18"/>
        </w:rPr>
        <w:t>Committee (2017), </w:t>
      </w:r>
      <w:hyperlink r:id="rId14" w:history="1">
        <w:r w:rsidR="00F13662" w:rsidRPr="00D3783A">
          <w:rPr>
            <w:rStyle w:val="Hyperlink"/>
            <w:rFonts w:ascii="Verdana" w:hAnsi="Verdana"/>
            <w:i/>
            <w:sz w:val="18"/>
            <w:szCs w:val="18"/>
          </w:rPr>
          <w:t>General Comment No. 5 – Article 19: Living independently and being included in the community</w:t>
        </w:r>
      </w:hyperlink>
      <w:r w:rsidR="00F13662" w:rsidRPr="00D3783A">
        <w:rPr>
          <w:rFonts w:ascii="Verdana" w:hAnsi="Verdana"/>
          <w:i/>
          <w:sz w:val="18"/>
          <w:szCs w:val="18"/>
        </w:rPr>
        <w:t>, CRPD/C/18/1, 29 August 2017, para. 42</w:t>
      </w:r>
    </w:p>
    <w:p w14:paraId="6A662CFB" w14:textId="77777777" w:rsidR="00C75461" w:rsidRDefault="00C75461" w:rsidP="002C3ACE">
      <w:pPr>
        <w:rPr>
          <w:rFonts w:ascii="Verdana" w:hAnsi="Verdana"/>
        </w:rPr>
      </w:pPr>
    </w:p>
    <w:p w14:paraId="4D303EAB" w14:textId="6CD88D3F" w:rsidR="00F13662" w:rsidRPr="00F43F87" w:rsidRDefault="0031362B" w:rsidP="002C3ACE">
      <w:pPr>
        <w:rPr>
          <w:rFonts w:ascii="Verdana" w:hAnsi="Verdana"/>
        </w:rPr>
      </w:pPr>
      <w:r w:rsidRPr="00F43F87">
        <w:rPr>
          <w:rFonts w:ascii="Verdana" w:hAnsi="Verdana"/>
        </w:rPr>
        <w:t>The EU </w:t>
      </w:r>
      <w:r w:rsidR="00F13662" w:rsidRPr="00F43F87">
        <w:rPr>
          <w:rFonts w:ascii="Verdana" w:hAnsi="Verdana"/>
        </w:rPr>
        <w:t>Member States are responsible for implementing many aspects of Article 19, as they are in charge of social policy. Two particular issues give a sense of how and to what extent Member States have committed themselves to achieving deinstitutionalisation as part of their obligations under the CRPD:</w:t>
      </w:r>
    </w:p>
    <w:p w14:paraId="06ED297A" w14:textId="1525A065" w:rsidR="00F13662" w:rsidRDefault="00F13662" w:rsidP="002C3ACE">
      <w:pPr>
        <w:pStyle w:val="ListParagraph"/>
        <w:numPr>
          <w:ilvl w:val="0"/>
          <w:numId w:val="26"/>
        </w:numPr>
        <w:rPr>
          <w:rFonts w:ascii="Verdana" w:hAnsi="Verdana"/>
        </w:rPr>
      </w:pPr>
      <w:r w:rsidRPr="00F43F87">
        <w:rPr>
          <w:rFonts w:ascii="Verdana" w:hAnsi="Verdana"/>
        </w:rPr>
        <w:t>the adoption and implementation of strategies and action plans on deinstitutionalisation;</w:t>
      </w:r>
    </w:p>
    <w:p w14:paraId="6ECEE516" w14:textId="77777777" w:rsidR="004D7E8E" w:rsidRPr="00F43F87" w:rsidRDefault="004D7E8E" w:rsidP="004D7E8E">
      <w:pPr>
        <w:pStyle w:val="ListParagraph"/>
        <w:rPr>
          <w:rFonts w:ascii="Verdana" w:hAnsi="Verdana"/>
        </w:rPr>
      </w:pPr>
    </w:p>
    <w:p w14:paraId="157C36DA" w14:textId="011AEDFE" w:rsidR="00F13662" w:rsidRDefault="00F13662" w:rsidP="002C3ACE">
      <w:pPr>
        <w:pStyle w:val="ListParagraph"/>
        <w:numPr>
          <w:ilvl w:val="0"/>
          <w:numId w:val="26"/>
        </w:numPr>
        <w:rPr>
          <w:rFonts w:ascii="Verdana" w:hAnsi="Verdana"/>
        </w:rPr>
      </w:pPr>
      <w:r w:rsidRPr="00F43F87">
        <w:rPr>
          <w:rFonts w:ascii="Verdana" w:hAnsi="Verdana"/>
        </w:rPr>
        <w:t>commitments not to build new institutions for persons with disabilities.</w:t>
      </w:r>
    </w:p>
    <w:p w14:paraId="173AD4F0" w14:textId="77777777" w:rsidR="00822B9E" w:rsidRPr="00F43F87" w:rsidRDefault="00822B9E" w:rsidP="00822B9E">
      <w:pPr>
        <w:pStyle w:val="ListParagraph"/>
        <w:rPr>
          <w:rFonts w:ascii="Verdana" w:hAnsi="Verdana"/>
        </w:rPr>
      </w:pPr>
    </w:p>
    <w:p w14:paraId="581AD42F" w14:textId="139AFD91" w:rsidR="00F13662" w:rsidRPr="00F43F87" w:rsidRDefault="00F13662" w:rsidP="002C3ACE">
      <w:pPr>
        <w:rPr>
          <w:rFonts w:ascii="Verdana" w:hAnsi="Verdana"/>
        </w:rPr>
      </w:pPr>
      <w:r w:rsidRPr="00F43F87">
        <w:rPr>
          <w:rFonts w:ascii="Verdana" w:hAnsi="Verdana"/>
        </w:rPr>
        <w:t xml:space="preserve">Strategies have become crucial tools for implementing the </w:t>
      </w:r>
      <w:r w:rsidR="0031362B" w:rsidRPr="00F43F87">
        <w:rPr>
          <w:rFonts w:ascii="Verdana" w:hAnsi="Verdana"/>
        </w:rPr>
        <w:t>CRPD </w:t>
      </w:r>
      <w:r w:rsidRPr="00F43F87">
        <w:rPr>
          <w:rFonts w:ascii="Verdana" w:hAnsi="Verdana"/>
        </w:rPr>
        <w:t>in the decade since its adoption, FRA research shows.</w:t>
      </w:r>
      <w:r w:rsidRPr="00F43F87">
        <w:rPr>
          <w:rStyle w:val="EndnoteReference"/>
          <w:rFonts w:ascii="Verdana" w:hAnsi="Verdana"/>
        </w:rPr>
        <w:endnoteReference w:id="42"/>
      </w:r>
      <w:r w:rsidRPr="00F43F87">
        <w:rPr>
          <w:rFonts w:ascii="Verdana" w:hAnsi="Verdana"/>
        </w:rPr>
        <w:t xml:space="preserve"> This is equally true of deinstitutionalisation. The </w:t>
      </w:r>
      <w:r w:rsidR="0031362B" w:rsidRPr="00F43F87">
        <w:rPr>
          <w:rFonts w:ascii="Verdana" w:hAnsi="Verdana"/>
        </w:rPr>
        <w:t>CRPD </w:t>
      </w:r>
      <w:r w:rsidRPr="00F43F87">
        <w:rPr>
          <w:rFonts w:ascii="Verdana" w:hAnsi="Verdana"/>
        </w:rPr>
        <w:t>Committee highlights the “lack of deinstitutionalization strategies and plans” as one of the remaining barriers to the implementation of the right to live independently.</w:t>
      </w:r>
      <w:r w:rsidRPr="00F43F87">
        <w:rPr>
          <w:rFonts w:ascii="Verdana" w:hAnsi="Verdana"/>
          <w:vertAlign w:val="superscript"/>
        </w:rPr>
        <w:endnoteReference w:id="43"/>
      </w:r>
      <w:r w:rsidRPr="00F43F87">
        <w:rPr>
          <w:rFonts w:ascii="Verdana" w:hAnsi="Verdana"/>
        </w:rPr>
        <w:t xml:space="preserve"> It has also clarified that strategies in themselves are not sufficient. Instead they must be “adequately funded”, include “clear time frames and benchmarks” and be adopted “in cooperation with organisations of persons with disabilities”.</w:t>
      </w:r>
      <w:r w:rsidRPr="00F43F87">
        <w:rPr>
          <w:rFonts w:ascii="Verdana" w:hAnsi="Verdana"/>
          <w:vertAlign w:val="superscript"/>
        </w:rPr>
        <w:endnoteReference w:id="44"/>
      </w:r>
      <w:r w:rsidRPr="00F43F87">
        <w:rPr>
          <w:rFonts w:ascii="Verdana" w:hAnsi="Verdana"/>
        </w:rPr>
        <w:t xml:space="preserve"> The FRA indicators on Article 19 of the </w:t>
      </w:r>
      <w:r w:rsidR="0031362B" w:rsidRPr="00F43F87">
        <w:rPr>
          <w:rFonts w:ascii="Verdana" w:hAnsi="Verdana"/>
        </w:rPr>
        <w:t>CRPD </w:t>
      </w:r>
      <w:r w:rsidRPr="00F43F87">
        <w:rPr>
          <w:rFonts w:ascii="Verdana" w:hAnsi="Verdana"/>
        </w:rPr>
        <w:t>provide detailed information on each of these aspects of deinstitutionalisation strategies.</w:t>
      </w:r>
    </w:p>
    <w:p w14:paraId="5F5CFF3A" w14:textId="0E86DE89" w:rsidR="00C341EA" w:rsidRDefault="00F13662" w:rsidP="002C3ACE">
      <w:pPr>
        <w:rPr>
          <w:rFonts w:ascii="Verdana" w:hAnsi="Verdana"/>
        </w:rPr>
      </w:pPr>
      <w:r w:rsidRPr="00F43F87">
        <w:rPr>
          <w:rFonts w:ascii="Verdana" w:hAnsi="Verdana"/>
        </w:rPr>
        <w:t xml:space="preserve">Evidence collected by FRA indicates that two-thirds of </w:t>
      </w:r>
      <w:r w:rsidR="0031362B" w:rsidRPr="00F43F87">
        <w:rPr>
          <w:rFonts w:ascii="Verdana" w:hAnsi="Verdana"/>
        </w:rPr>
        <w:t>EU </w:t>
      </w:r>
      <w:r w:rsidRPr="00F43F87">
        <w:rPr>
          <w:rFonts w:ascii="Verdana" w:hAnsi="Verdana"/>
        </w:rPr>
        <w:t>Member States have either adopted a dedicated strategy on deinstitutionalisation (six Member States) or included measures for deinstitutionalisation in a broader disability strategy (eight Member States), or both (three Member States).</w:t>
      </w:r>
      <w:r w:rsidRPr="00F43F87">
        <w:rPr>
          <w:rStyle w:val="EndnoteReference"/>
          <w:rFonts w:ascii="Verdana" w:hAnsi="Verdana"/>
        </w:rPr>
        <w:endnoteReference w:id="45"/>
      </w:r>
      <w:r w:rsidRPr="00F43F87">
        <w:rPr>
          <w:rFonts w:ascii="Verdana" w:hAnsi="Verdana"/>
        </w:rPr>
        <w:t xml:space="preserve"> </w:t>
      </w:r>
      <w:r w:rsidRPr="00C341EA">
        <w:rPr>
          <w:rFonts w:ascii="Verdana" w:hAnsi="Verdana"/>
          <w:color w:val="00565B"/>
        </w:rPr>
        <w:t xml:space="preserve">Table 1 </w:t>
      </w:r>
      <w:r w:rsidRPr="00F43F87">
        <w:rPr>
          <w:rFonts w:ascii="Verdana" w:hAnsi="Verdana"/>
        </w:rPr>
        <w:t>presents an overview of these strategies.</w:t>
      </w:r>
    </w:p>
    <w:p w14:paraId="0F56BD94" w14:textId="77777777" w:rsidR="00620215" w:rsidRPr="00F43F87" w:rsidRDefault="00620215" w:rsidP="002C3ACE">
      <w:pPr>
        <w:rPr>
          <w:rFonts w:ascii="Verdana" w:hAnsi="Verdana"/>
        </w:rPr>
      </w:pPr>
    </w:p>
    <w:p w14:paraId="1D34B7BF" w14:textId="4AFEFB3B" w:rsidR="00F13662" w:rsidRPr="00855292" w:rsidRDefault="00F13662" w:rsidP="002C3ACE">
      <w:pPr>
        <w:rPr>
          <w:rFonts w:ascii="Verdana" w:hAnsi="Verdana"/>
          <w:b/>
          <w:color w:val="00565B"/>
        </w:rPr>
      </w:pPr>
      <w:r w:rsidRPr="00855292">
        <w:rPr>
          <w:rFonts w:ascii="Verdana" w:hAnsi="Verdana"/>
          <w:b/>
          <w:color w:val="00565B"/>
        </w:rPr>
        <w:t>Table 1: Strategies on deinstitutionalisation and for persons with disabilities</w:t>
      </w:r>
    </w:p>
    <w:tbl>
      <w:tblPr>
        <w:tblStyle w:val="TableGrid67"/>
        <w:tblW w:w="0" w:type="auto"/>
        <w:tblLook w:val="04A0" w:firstRow="1" w:lastRow="0" w:firstColumn="1" w:lastColumn="0" w:noHBand="0" w:noVBand="1"/>
      </w:tblPr>
      <w:tblGrid>
        <w:gridCol w:w="985"/>
        <w:gridCol w:w="8031"/>
      </w:tblGrid>
      <w:tr w:rsidR="00F13662" w:rsidRPr="00C341EA" w14:paraId="0054289D" w14:textId="77777777" w:rsidTr="005D16AF">
        <w:tc>
          <w:tcPr>
            <w:tcW w:w="0" w:type="auto"/>
          </w:tcPr>
          <w:p w14:paraId="0A79E505" w14:textId="711E0F77" w:rsidR="00F13662" w:rsidRPr="00C341EA" w:rsidRDefault="0031362B" w:rsidP="002C3ACE">
            <w:pPr>
              <w:rPr>
                <w:rFonts w:ascii="Verdana" w:hAnsi="Verdana"/>
                <w:b/>
                <w:color w:val="00565B"/>
                <w:lang w:val="en-GB"/>
              </w:rPr>
            </w:pPr>
            <w:r w:rsidRPr="00C341EA">
              <w:rPr>
                <w:rFonts w:ascii="Verdana" w:hAnsi="Verdana"/>
                <w:b/>
                <w:color w:val="00565B"/>
                <w:lang w:val="en-GB"/>
              </w:rPr>
              <w:t>EU </w:t>
            </w:r>
            <w:r w:rsidR="00F13662" w:rsidRPr="00C341EA">
              <w:rPr>
                <w:rFonts w:ascii="Verdana" w:hAnsi="Verdana"/>
                <w:b/>
                <w:color w:val="00565B"/>
                <w:lang w:val="en-GB"/>
              </w:rPr>
              <w:t>MS</w:t>
            </w:r>
          </w:p>
        </w:tc>
        <w:tc>
          <w:tcPr>
            <w:tcW w:w="0" w:type="auto"/>
          </w:tcPr>
          <w:p w14:paraId="0153A100" w14:textId="77777777" w:rsidR="00F13662" w:rsidRPr="00C341EA" w:rsidRDefault="00F13662" w:rsidP="002C3ACE">
            <w:pPr>
              <w:rPr>
                <w:rFonts w:ascii="Verdana" w:hAnsi="Verdana"/>
                <w:b/>
                <w:color w:val="00565B"/>
                <w:lang w:val="en-GB"/>
              </w:rPr>
            </w:pPr>
            <w:r w:rsidRPr="00C341EA">
              <w:rPr>
                <w:rFonts w:ascii="Verdana" w:hAnsi="Verdana"/>
                <w:b/>
                <w:color w:val="00565B"/>
                <w:lang w:val="en-GB"/>
              </w:rPr>
              <w:t>Strategy or action plan</w:t>
            </w:r>
          </w:p>
        </w:tc>
      </w:tr>
      <w:tr w:rsidR="00F13662" w:rsidRPr="00F43F87" w14:paraId="650D537E" w14:textId="77777777" w:rsidTr="005D16AF">
        <w:tc>
          <w:tcPr>
            <w:tcW w:w="0" w:type="auto"/>
          </w:tcPr>
          <w:p w14:paraId="37A6B793" w14:textId="77777777" w:rsidR="00F13662" w:rsidRPr="00F43F87" w:rsidRDefault="00F13662" w:rsidP="002C3ACE">
            <w:pPr>
              <w:rPr>
                <w:rFonts w:ascii="Verdana" w:hAnsi="Verdana"/>
                <w:lang w:val="en-GB"/>
              </w:rPr>
            </w:pPr>
            <w:r w:rsidRPr="00F43F87">
              <w:rPr>
                <w:rFonts w:ascii="Verdana" w:hAnsi="Verdana"/>
                <w:lang w:val="en-GB" w:bidi="en-US"/>
              </w:rPr>
              <w:t>AT</w:t>
            </w:r>
          </w:p>
        </w:tc>
        <w:tc>
          <w:tcPr>
            <w:tcW w:w="0" w:type="auto"/>
          </w:tcPr>
          <w:p w14:paraId="71ABC0B8" w14:textId="3F268C09" w:rsidR="00F13662" w:rsidRPr="00F43F87" w:rsidRDefault="002746D5" w:rsidP="002C3ACE">
            <w:pPr>
              <w:rPr>
                <w:rFonts w:ascii="Verdana" w:hAnsi="Verdana"/>
                <w:color w:val="0563C1"/>
                <w:u w:val="single"/>
                <w:lang w:val="en-GB"/>
              </w:rPr>
            </w:pPr>
            <w:hyperlink r:id="rId15" w:history="1">
              <w:r w:rsidR="00F13662" w:rsidRPr="00F43F87">
                <w:rPr>
                  <w:rStyle w:val="Hyperlink"/>
                  <w:rFonts w:ascii="Verdana" w:hAnsi="Verdana"/>
                  <w:lang w:val="en-GB"/>
                </w:rPr>
                <w:t>National Action Plan on Disability 2012–2020</w:t>
              </w:r>
            </w:hyperlink>
            <w:r w:rsidR="00F13662" w:rsidRPr="00F43F87">
              <w:rPr>
                <w:rFonts w:ascii="Verdana" w:hAnsi="Verdana"/>
                <w:lang w:val="en-GB"/>
              </w:rPr>
              <w:t xml:space="preserve"> (</w:t>
            </w:r>
            <w:r w:rsidR="00F13662" w:rsidRPr="00F43F87">
              <w:rPr>
                <w:rFonts w:ascii="Verdana" w:hAnsi="Verdana"/>
                <w:i/>
                <w:lang w:val="en-GB"/>
              </w:rPr>
              <w:t>Nationaler Aktionsplan Behinderung 2012–2020</w:t>
            </w:r>
            <w:r w:rsidR="00F13662" w:rsidRPr="00F43F87">
              <w:rPr>
                <w:rFonts w:ascii="Verdana" w:hAnsi="Verdana"/>
              </w:rPr>
              <w:t>)</w:t>
            </w:r>
          </w:p>
        </w:tc>
      </w:tr>
      <w:tr w:rsidR="00F13662" w:rsidRPr="00F43F87" w14:paraId="701B7F15" w14:textId="77777777" w:rsidTr="005D16AF">
        <w:tc>
          <w:tcPr>
            <w:tcW w:w="0" w:type="auto"/>
          </w:tcPr>
          <w:p w14:paraId="2F304BEA" w14:textId="77777777" w:rsidR="00F13662" w:rsidRPr="00F43F87" w:rsidRDefault="00F13662" w:rsidP="002C3ACE">
            <w:pPr>
              <w:rPr>
                <w:rFonts w:ascii="Verdana" w:hAnsi="Verdana"/>
                <w:lang w:val="en-GB"/>
              </w:rPr>
            </w:pPr>
            <w:r w:rsidRPr="00F43F87">
              <w:rPr>
                <w:rFonts w:ascii="Verdana" w:hAnsi="Verdana"/>
                <w:lang w:val="en-GB" w:bidi="en-US"/>
              </w:rPr>
              <w:t>BG</w:t>
            </w:r>
          </w:p>
        </w:tc>
        <w:tc>
          <w:tcPr>
            <w:tcW w:w="0" w:type="auto"/>
          </w:tcPr>
          <w:p w14:paraId="3DB8A840" w14:textId="6C174AD1" w:rsidR="00F13662" w:rsidRPr="00F43F87" w:rsidRDefault="00F13662" w:rsidP="002C3ACE">
            <w:pPr>
              <w:rPr>
                <w:rFonts w:ascii="Verdana" w:hAnsi="Verdana"/>
                <w:lang w:val="en-GB"/>
              </w:rPr>
            </w:pPr>
            <w:r w:rsidRPr="00F43F87">
              <w:rPr>
                <w:rFonts w:ascii="Verdana" w:hAnsi="Verdana"/>
                <w:lang w:val="en-GB"/>
              </w:rPr>
              <w:t>National Strategy for Equal Opportunities for Disabled People 2008–2015 (</w:t>
            </w:r>
            <w:hyperlink r:id="rId16" w:history="1">
              <w:r w:rsidRPr="00F43F87">
                <w:rPr>
                  <w:rStyle w:val="Hyperlink"/>
                  <w:rFonts w:ascii="Verdana" w:hAnsi="Verdana"/>
                  <w:i/>
                  <w:lang w:val="en-GB"/>
                </w:rPr>
                <w:t>Стратегия за осигуряване на равни възможности на хората с увреждания 2008</w:t>
              </w:r>
              <w:r w:rsidRPr="00F43F87">
                <w:rPr>
                  <w:rStyle w:val="Hyperlink"/>
                  <w:rFonts w:ascii="Verdana" w:hAnsi="Verdana"/>
                  <w:i/>
                  <w:color w:val="auto"/>
                  <w:lang w:val="en-GB"/>
                </w:rPr>
                <w:t xml:space="preserve"> – </w:t>
              </w:r>
              <w:r w:rsidRPr="00F43F87">
                <w:rPr>
                  <w:rStyle w:val="Hyperlink"/>
                  <w:rFonts w:ascii="Verdana" w:hAnsi="Verdana"/>
                  <w:i/>
                  <w:lang w:val="en-GB"/>
                </w:rPr>
                <w:t>2015 г</w:t>
              </w:r>
            </w:hyperlink>
            <w:r w:rsidRPr="00F43F87">
              <w:rPr>
                <w:rFonts w:ascii="Verdana" w:hAnsi="Verdana"/>
                <w:i/>
                <w:lang w:val="en-GB"/>
              </w:rPr>
              <w:t>.</w:t>
            </w:r>
            <w:r w:rsidRPr="00F43F87">
              <w:rPr>
                <w:rFonts w:ascii="Verdana" w:hAnsi="Verdana"/>
                <w:lang w:val="en-GB"/>
              </w:rPr>
              <w:t>)</w:t>
            </w:r>
          </w:p>
        </w:tc>
      </w:tr>
      <w:tr w:rsidR="00F13662" w:rsidRPr="00F43F87" w14:paraId="67246103" w14:textId="77777777" w:rsidTr="005D16AF">
        <w:tc>
          <w:tcPr>
            <w:tcW w:w="0" w:type="auto"/>
          </w:tcPr>
          <w:p w14:paraId="69E72EAE" w14:textId="77777777" w:rsidR="00F13662" w:rsidRPr="00F43F87" w:rsidRDefault="00F13662" w:rsidP="002C3ACE">
            <w:pPr>
              <w:rPr>
                <w:rFonts w:ascii="Verdana" w:hAnsi="Verdana"/>
                <w:lang w:val="en-GB"/>
              </w:rPr>
            </w:pPr>
            <w:r w:rsidRPr="00F43F87">
              <w:rPr>
                <w:rFonts w:ascii="Verdana" w:hAnsi="Verdana"/>
                <w:lang w:val="en-GB" w:bidi="en-US"/>
              </w:rPr>
              <w:t>CY</w:t>
            </w:r>
          </w:p>
        </w:tc>
        <w:tc>
          <w:tcPr>
            <w:tcW w:w="0" w:type="auto"/>
          </w:tcPr>
          <w:p w14:paraId="64F6B255" w14:textId="0F9BC681" w:rsidR="00F13662" w:rsidRPr="00F43F87" w:rsidRDefault="002746D5" w:rsidP="002C3ACE">
            <w:pPr>
              <w:rPr>
                <w:rFonts w:ascii="Verdana" w:hAnsi="Verdana"/>
                <w:lang w:val="en-GB"/>
              </w:rPr>
            </w:pPr>
            <w:hyperlink r:id="rId17" w:history="1">
              <w:r w:rsidR="00F13662" w:rsidRPr="00F43F87">
                <w:rPr>
                  <w:rStyle w:val="Hyperlink"/>
                  <w:rFonts w:ascii="Verdana" w:hAnsi="Verdana"/>
                  <w:lang w:val="en-GB"/>
                </w:rPr>
                <w:t>First National Action Plan for Disability for the Implementation of the Convention of the Rights of Persons with Disabilities 2013–2015</w:t>
              </w:r>
            </w:hyperlink>
          </w:p>
        </w:tc>
      </w:tr>
      <w:tr w:rsidR="00F13662" w:rsidRPr="00F43F87" w14:paraId="31954696" w14:textId="77777777" w:rsidTr="005D16AF">
        <w:tc>
          <w:tcPr>
            <w:tcW w:w="0" w:type="auto"/>
            <w:vMerge w:val="restart"/>
          </w:tcPr>
          <w:p w14:paraId="3F7A29D9" w14:textId="77777777" w:rsidR="004900B7" w:rsidRDefault="004900B7" w:rsidP="002C3ACE">
            <w:pPr>
              <w:rPr>
                <w:rFonts w:ascii="Verdana" w:hAnsi="Verdana"/>
                <w:lang w:val="en-GB" w:bidi="en-US"/>
              </w:rPr>
            </w:pPr>
          </w:p>
          <w:p w14:paraId="693C3D92" w14:textId="77777777" w:rsidR="004900B7" w:rsidRDefault="004900B7" w:rsidP="002C3ACE">
            <w:pPr>
              <w:rPr>
                <w:rFonts w:ascii="Verdana" w:hAnsi="Verdana"/>
                <w:lang w:val="en-GB" w:bidi="en-US"/>
              </w:rPr>
            </w:pPr>
          </w:p>
          <w:p w14:paraId="4712F2CA" w14:textId="77777777" w:rsidR="004900B7" w:rsidRDefault="004900B7" w:rsidP="002C3ACE">
            <w:pPr>
              <w:rPr>
                <w:rFonts w:ascii="Verdana" w:hAnsi="Verdana"/>
                <w:lang w:val="en-GB" w:bidi="en-US"/>
              </w:rPr>
            </w:pPr>
          </w:p>
          <w:p w14:paraId="79AA8CC6" w14:textId="77777777" w:rsidR="00F13662" w:rsidRPr="00F43F87" w:rsidRDefault="00F13662" w:rsidP="002C3ACE">
            <w:pPr>
              <w:rPr>
                <w:rFonts w:ascii="Verdana" w:hAnsi="Verdana"/>
                <w:lang w:val="en-GB" w:bidi="en-US"/>
              </w:rPr>
            </w:pPr>
            <w:r w:rsidRPr="00F43F87">
              <w:rPr>
                <w:rFonts w:ascii="Verdana" w:hAnsi="Verdana"/>
                <w:lang w:val="en-GB" w:bidi="en-US"/>
              </w:rPr>
              <w:t>CZ</w:t>
            </w:r>
          </w:p>
        </w:tc>
        <w:tc>
          <w:tcPr>
            <w:tcW w:w="0" w:type="auto"/>
          </w:tcPr>
          <w:p w14:paraId="1EE77C39" w14:textId="033B116A" w:rsidR="00F13662" w:rsidRPr="00F43F87" w:rsidRDefault="002746D5" w:rsidP="002C3ACE">
            <w:pPr>
              <w:rPr>
                <w:rFonts w:ascii="Verdana" w:hAnsi="Verdana"/>
                <w:lang w:val="en-GB"/>
              </w:rPr>
            </w:pPr>
            <w:hyperlink r:id="rId18" w:history="1">
              <w:r w:rsidR="00F13662" w:rsidRPr="00F43F87">
                <w:rPr>
                  <w:rStyle w:val="Hyperlink"/>
                  <w:rFonts w:ascii="Verdana" w:hAnsi="Verdana"/>
                  <w:lang w:val="en-GB"/>
                </w:rPr>
                <w:t>National Plan for the Promotion of Equal Opportunities for Persons with Disabilities 2015</w:t>
              </w:r>
              <w:r w:rsidR="00F13662" w:rsidRPr="00F43F87">
                <w:rPr>
                  <w:rStyle w:val="Hyperlink"/>
                  <w:rFonts w:ascii="Verdana" w:hAnsi="Verdana"/>
                  <w:color w:val="auto"/>
                  <w:lang w:val="en-GB"/>
                </w:rPr>
                <w:t>–2</w:t>
              </w:r>
              <w:r w:rsidR="00F13662" w:rsidRPr="00F43F87">
                <w:rPr>
                  <w:rStyle w:val="Hyperlink"/>
                  <w:rFonts w:ascii="Verdana" w:hAnsi="Verdana"/>
                  <w:lang w:val="en-GB"/>
                </w:rPr>
                <w:t>020</w:t>
              </w:r>
            </w:hyperlink>
            <w:r w:rsidR="00F13662" w:rsidRPr="00F43F87">
              <w:rPr>
                <w:rFonts w:ascii="Verdana" w:hAnsi="Verdana"/>
                <w:lang w:val="en-GB"/>
              </w:rPr>
              <w:t xml:space="preserve"> (</w:t>
            </w:r>
            <w:hyperlink r:id="rId19" w:history="1">
              <w:r w:rsidR="00F13662" w:rsidRPr="00F43F87">
                <w:rPr>
                  <w:rStyle w:val="Hyperlink"/>
                  <w:rFonts w:ascii="Verdana" w:hAnsi="Verdana"/>
                  <w:i/>
                  <w:lang w:val="en-GB"/>
                </w:rPr>
                <w:t>Národní plán podpory rovných příležitostí pro osoby se zdravotním postižením na období 2015–2020</w:t>
              </w:r>
            </w:hyperlink>
            <w:r w:rsidR="00F13662" w:rsidRPr="00F43F87">
              <w:rPr>
                <w:rFonts w:ascii="Verdana" w:hAnsi="Verdana"/>
                <w:lang w:val="en-GB"/>
              </w:rPr>
              <w:t>)</w:t>
            </w:r>
          </w:p>
        </w:tc>
      </w:tr>
      <w:tr w:rsidR="00F13662" w:rsidRPr="00F43F87" w14:paraId="2A7A5CC9" w14:textId="77777777" w:rsidTr="005D16AF">
        <w:tc>
          <w:tcPr>
            <w:tcW w:w="0" w:type="auto"/>
            <w:vMerge/>
          </w:tcPr>
          <w:p w14:paraId="46C1C4F4" w14:textId="77777777" w:rsidR="00F13662" w:rsidRPr="00F43F87" w:rsidRDefault="00F13662" w:rsidP="002C3ACE">
            <w:pPr>
              <w:rPr>
                <w:rFonts w:ascii="Verdana" w:hAnsi="Verdana"/>
                <w:lang w:val="en-GB" w:bidi="en-US"/>
              </w:rPr>
            </w:pPr>
          </w:p>
        </w:tc>
        <w:tc>
          <w:tcPr>
            <w:tcW w:w="0" w:type="auto"/>
          </w:tcPr>
          <w:p w14:paraId="12ADA407" w14:textId="70878091" w:rsidR="00F13662" w:rsidRPr="00F43F87" w:rsidRDefault="00F13662" w:rsidP="002C3ACE">
            <w:pPr>
              <w:rPr>
                <w:rFonts w:ascii="Verdana" w:hAnsi="Verdana"/>
                <w:lang w:val="en-GB"/>
              </w:rPr>
            </w:pPr>
            <w:r w:rsidRPr="00F43F87">
              <w:rPr>
                <w:rFonts w:ascii="Verdana" w:hAnsi="Verdana"/>
                <w:lang w:val="en-GB"/>
              </w:rPr>
              <w:t>Strategy of Social Inclusion 2014–2020 (</w:t>
            </w:r>
            <w:hyperlink r:id="rId20" w:history="1">
              <w:r w:rsidRPr="00F43F87">
                <w:rPr>
                  <w:rStyle w:val="Hyperlink"/>
                  <w:rFonts w:ascii="Verdana" w:hAnsi="Verdana"/>
                  <w:i/>
                  <w:lang w:val="en-GB"/>
                </w:rPr>
                <w:t>Strategie sociálního začleňování 2014–2020</w:t>
              </w:r>
            </w:hyperlink>
            <w:r w:rsidRPr="00F43F87">
              <w:rPr>
                <w:rFonts w:ascii="Verdana" w:hAnsi="Verdana"/>
              </w:rPr>
              <w:t>)</w:t>
            </w:r>
          </w:p>
        </w:tc>
      </w:tr>
      <w:tr w:rsidR="00F13662" w:rsidRPr="00F43F87" w14:paraId="3A346F6C" w14:textId="77777777" w:rsidTr="005D16AF">
        <w:tc>
          <w:tcPr>
            <w:tcW w:w="0" w:type="auto"/>
            <w:vMerge/>
          </w:tcPr>
          <w:p w14:paraId="3346665C" w14:textId="77777777" w:rsidR="00F13662" w:rsidRPr="00F43F87" w:rsidRDefault="00F13662" w:rsidP="002C3ACE">
            <w:pPr>
              <w:rPr>
                <w:rFonts w:ascii="Verdana" w:hAnsi="Verdana"/>
                <w:lang w:val="en-GB" w:bidi="en-US"/>
              </w:rPr>
            </w:pPr>
          </w:p>
        </w:tc>
        <w:tc>
          <w:tcPr>
            <w:tcW w:w="0" w:type="auto"/>
          </w:tcPr>
          <w:p w14:paraId="2ED19B02" w14:textId="4FF3373F" w:rsidR="00F13662" w:rsidRPr="00F43F87" w:rsidRDefault="00F13662" w:rsidP="002C3ACE">
            <w:pPr>
              <w:rPr>
                <w:rFonts w:ascii="Verdana" w:hAnsi="Verdana"/>
                <w:lang w:val="en-GB"/>
              </w:rPr>
            </w:pPr>
            <w:r w:rsidRPr="00F43F87">
              <w:rPr>
                <w:rFonts w:ascii="Verdana" w:hAnsi="Verdana"/>
                <w:lang w:val="en-GB"/>
              </w:rPr>
              <w:t xml:space="preserve">Action Plan for the Implementation of the National Strategy of Protection of Children’s Rights, 2012–2015 </w:t>
            </w:r>
            <w:r w:rsidRPr="00F43F87">
              <w:rPr>
                <w:rFonts w:ascii="Verdana" w:hAnsi="Verdana"/>
              </w:rPr>
              <w:t>(</w:t>
            </w:r>
            <w:hyperlink r:id="rId21" w:history="1">
              <w:r w:rsidRPr="00F43F87">
                <w:rPr>
                  <w:rStyle w:val="Hyperlink"/>
                  <w:rFonts w:ascii="Verdana" w:hAnsi="Verdana"/>
                  <w:i/>
                  <w:lang w:val="en-GB"/>
                </w:rPr>
                <w:t>Akční plán k naplnění Národní strategie ochrany práv dětí na období 2012–2015</w:t>
              </w:r>
            </w:hyperlink>
            <w:r w:rsidRPr="00F43F87">
              <w:rPr>
                <w:rFonts w:ascii="Verdana" w:hAnsi="Verdana"/>
              </w:rPr>
              <w:t>)</w:t>
            </w:r>
          </w:p>
        </w:tc>
      </w:tr>
      <w:tr w:rsidR="00F13662" w:rsidRPr="00F43F87" w14:paraId="56E9DB4E" w14:textId="77777777" w:rsidTr="005D16AF">
        <w:tc>
          <w:tcPr>
            <w:tcW w:w="0" w:type="auto"/>
          </w:tcPr>
          <w:p w14:paraId="4D98CE03" w14:textId="77777777" w:rsidR="00F13662" w:rsidRPr="00F43F87" w:rsidRDefault="00F13662" w:rsidP="002C3ACE">
            <w:pPr>
              <w:rPr>
                <w:rFonts w:ascii="Verdana" w:hAnsi="Verdana"/>
                <w:lang w:val="en-GB"/>
              </w:rPr>
            </w:pPr>
            <w:r w:rsidRPr="00F43F87">
              <w:rPr>
                <w:rFonts w:ascii="Verdana" w:hAnsi="Verdana"/>
                <w:lang w:val="en-GB" w:bidi="en-US"/>
              </w:rPr>
              <w:t>EE</w:t>
            </w:r>
          </w:p>
        </w:tc>
        <w:tc>
          <w:tcPr>
            <w:tcW w:w="0" w:type="auto"/>
          </w:tcPr>
          <w:p w14:paraId="7A241FEE" w14:textId="6FD0ACA6" w:rsidR="00F13662" w:rsidRPr="00F43F87" w:rsidRDefault="002746D5" w:rsidP="002C3ACE">
            <w:pPr>
              <w:rPr>
                <w:rFonts w:ascii="Verdana" w:hAnsi="Verdana"/>
                <w:lang w:val="en-GB"/>
              </w:rPr>
            </w:pPr>
            <w:hyperlink r:id="rId22" w:history="1">
              <w:r w:rsidR="00F13662" w:rsidRPr="00F43F87">
                <w:rPr>
                  <w:rStyle w:val="Hyperlink"/>
                  <w:rFonts w:ascii="Verdana" w:hAnsi="Verdana"/>
                  <w:lang w:val="en-GB" w:bidi="en-US"/>
                </w:rPr>
                <w:t>Special Care and Welfare Development Plan for 2014</w:t>
              </w:r>
              <w:r w:rsidR="00F13662" w:rsidRPr="00F43F87">
                <w:rPr>
                  <w:rStyle w:val="Hyperlink"/>
                  <w:rFonts w:ascii="Verdana" w:hAnsi="Verdana"/>
                  <w:color w:val="auto"/>
                  <w:lang w:val="en-GB" w:bidi="en-US"/>
                </w:rPr>
                <w:t>–2</w:t>
              </w:r>
              <w:r w:rsidR="00F13662" w:rsidRPr="00F43F87">
                <w:rPr>
                  <w:rStyle w:val="Hyperlink"/>
                  <w:rFonts w:ascii="Verdana" w:hAnsi="Verdana"/>
                  <w:lang w:val="en-GB" w:bidi="en-US"/>
                </w:rPr>
                <w:t>020</w:t>
              </w:r>
            </w:hyperlink>
            <w:r w:rsidR="00F13662" w:rsidRPr="00F43F87">
              <w:rPr>
                <w:rFonts w:ascii="Verdana" w:hAnsi="Verdana"/>
                <w:lang w:val="en-GB" w:bidi="en-US"/>
              </w:rPr>
              <w:t xml:space="preserve"> (</w:t>
            </w:r>
            <w:r w:rsidR="00F13662" w:rsidRPr="00F43F87">
              <w:rPr>
                <w:rFonts w:ascii="Verdana" w:hAnsi="Verdana"/>
                <w:i/>
                <w:lang w:val="en-GB"/>
              </w:rPr>
              <w:t>Erihoolekande arengukava aastateks 2014–2020</w:t>
            </w:r>
            <w:r w:rsidR="00F13662" w:rsidRPr="00F43F87">
              <w:rPr>
                <w:rFonts w:ascii="Verdana" w:hAnsi="Verdana"/>
              </w:rPr>
              <w:t>)</w:t>
            </w:r>
          </w:p>
        </w:tc>
      </w:tr>
      <w:tr w:rsidR="00F13662" w:rsidRPr="00F43F87" w14:paraId="5A0DC206" w14:textId="77777777" w:rsidTr="005D16AF">
        <w:tc>
          <w:tcPr>
            <w:tcW w:w="0" w:type="auto"/>
            <w:vMerge w:val="restart"/>
          </w:tcPr>
          <w:p w14:paraId="28446053" w14:textId="77777777" w:rsidR="004900B7" w:rsidRDefault="004900B7" w:rsidP="002C3ACE">
            <w:pPr>
              <w:rPr>
                <w:rFonts w:ascii="Verdana" w:hAnsi="Verdana"/>
                <w:lang w:val="en-GB" w:bidi="en-US"/>
              </w:rPr>
            </w:pPr>
          </w:p>
          <w:p w14:paraId="648F2443" w14:textId="30651FF9" w:rsidR="00F13662" w:rsidRPr="00F43F87" w:rsidRDefault="00F13662" w:rsidP="002C3ACE">
            <w:pPr>
              <w:rPr>
                <w:rFonts w:ascii="Verdana" w:hAnsi="Verdana"/>
                <w:lang w:val="en-GB"/>
              </w:rPr>
            </w:pPr>
            <w:r w:rsidRPr="00F43F87">
              <w:rPr>
                <w:rFonts w:ascii="Verdana" w:hAnsi="Verdana"/>
                <w:lang w:val="en-GB" w:bidi="en-US"/>
              </w:rPr>
              <w:t>EL</w:t>
            </w:r>
          </w:p>
        </w:tc>
        <w:tc>
          <w:tcPr>
            <w:tcW w:w="0" w:type="auto"/>
          </w:tcPr>
          <w:p w14:paraId="626F11E1" w14:textId="6F4E0B22" w:rsidR="00F13662" w:rsidRPr="00F43F87" w:rsidRDefault="00F13662" w:rsidP="002C3ACE">
            <w:pPr>
              <w:rPr>
                <w:rFonts w:ascii="Verdana" w:hAnsi="Verdana"/>
                <w:lang w:val="en-GB"/>
              </w:rPr>
            </w:pPr>
            <w:r w:rsidRPr="00F43F87">
              <w:rPr>
                <w:rFonts w:ascii="Verdana" w:hAnsi="Verdana"/>
                <w:lang w:val="en-GB"/>
              </w:rPr>
              <w:t>National Action Plan Psychargos C (2011–2020) (</w:t>
            </w:r>
            <w:hyperlink r:id="rId23" w:history="1">
              <w:r w:rsidRPr="00F43F87">
                <w:rPr>
                  <w:rStyle w:val="Hyperlink"/>
                  <w:rFonts w:ascii="Verdana" w:hAnsi="Verdana"/>
                  <w:i/>
                  <w:lang w:val="en-GB"/>
                </w:rPr>
                <w:t>Εθνικό Σχέδιο Δράσης ΨΥΧΑΡΓΩΣ Γ’ 2011-2020</w:t>
              </w:r>
            </w:hyperlink>
            <w:r w:rsidRPr="00F43F87">
              <w:rPr>
                <w:rFonts w:ascii="Verdana" w:hAnsi="Verdana"/>
                <w:lang w:val="en"/>
              </w:rPr>
              <w:t>)</w:t>
            </w:r>
          </w:p>
        </w:tc>
      </w:tr>
      <w:tr w:rsidR="00F13662" w:rsidRPr="00F43F87" w14:paraId="7107FDD1" w14:textId="77777777" w:rsidTr="005D16AF">
        <w:tc>
          <w:tcPr>
            <w:tcW w:w="0" w:type="auto"/>
            <w:vMerge/>
          </w:tcPr>
          <w:p w14:paraId="5CD93F7D" w14:textId="4B761112" w:rsidR="00F13662" w:rsidRPr="00F43F87" w:rsidRDefault="00F13662" w:rsidP="002C3ACE">
            <w:pPr>
              <w:rPr>
                <w:rFonts w:ascii="Verdana" w:hAnsi="Verdana"/>
                <w:lang w:val="en-GB" w:bidi="en-US"/>
              </w:rPr>
            </w:pPr>
          </w:p>
        </w:tc>
        <w:tc>
          <w:tcPr>
            <w:tcW w:w="0" w:type="auto"/>
          </w:tcPr>
          <w:p w14:paraId="15657A0D" w14:textId="77777777" w:rsidR="00F13662" w:rsidRPr="00F43F87" w:rsidRDefault="00F13662" w:rsidP="002C3ACE">
            <w:pPr>
              <w:rPr>
                <w:rFonts w:ascii="Verdana" w:hAnsi="Verdana"/>
                <w:lang w:val="en-GB"/>
              </w:rPr>
            </w:pPr>
            <w:r w:rsidRPr="00F43F87">
              <w:rPr>
                <w:rFonts w:ascii="Verdana" w:hAnsi="Verdana"/>
                <w:lang w:val="en-GB"/>
              </w:rPr>
              <w:t>National Strategic Framework for Social Integration (</w:t>
            </w:r>
            <w:hyperlink r:id="rId24" w:history="1">
              <w:r w:rsidRPr="00F43F87">
                <w:rPr>
                  <w:rStyle w:val="Hyperlink"/>
                  <w:rFonts w:ascii="Verdana" w:hAnsi="Verdana"/>
                  <w:i/>
                  <w:lang w:val="en-GB"/>
                </w:rPr>
                <w:t>Εθνικό Στρατηγικό Πλαίσιο για την Κοινωνική Ένταξη</w:t>
              </w:r>
            </w:hyperlink>
            <w:r w:rsidRPr="00F43F87">
              <w:rPr>
                <w:rFonts w:ascii="Verdana" w:hAnsi="Verdana"/>
                <w:lang w:val="en-GB"/>
              </w:rPr>
              <w:t>)</w:t>
            </w:r>
          </w:p>
        </w:tc>
      </w:tr>
      <w:tr w:rsidR="00F13662" w:rsidRPr="00F43F87" w14:paraId="053AD53D" w14:textId="77777777" w:rsidTr="005D16AF">
        <w:trPr>
          <w:trHeight w:val="301"/>
        </w:trPr>
        <w:tc>
          <w:tcPr>
            <w:tcW w:w="0" w:type="auto"/>
          </w:tcPr>
          <w:p w14:paraId="6047F38D" w14:textId="1C6C4683" w:rsidR="00F13662" w:rsidRPr="00F43F87" w:rsidRDefault="00F13662" w:rsidP="002C3ACE">
            <w:pPr>
              <w:rPr>
                <w:rFonts w:ascii="Verdana" w:hAnsi="Verdana"/>
                <w:lang w:bidi="en-US"/>
              </w:rPr>
            </w:pPr>
            <w:r w:rsidRPr="00F43F87">
              <w:rPr>
                <w:rFonts w:ascii="Verdana" w:hAnsi="Verdana"/>
                <w:lang w:bidi="en-US"/>
              </w:rPr>
              <w:t>FI</w:t>
            </w:r>
          </w:p>
        </w:tc>
        <w:tc>
          <w:tcPr>
            <w:tcW w:w="0" w:type="auto"/>
          </w:tcPr>
          <w:p w14:paraId="43573FE4" w14:textId="5EE60BD2" w:rsidR="00F13662" w:rsidRPr="000206BE" w:rsidRDefault="00F13662" w:rsidP="002C3ACE">
            <w:pPr>
              <w:rPr>
                <w:rFonts w:ascii="Verdana" w:hAnsi="Verdana"/>
                <w:lang w:val="en-GB"/>
              </w:rPr>
            </w:pPr>
            <w:r w:rsidRPr="00F43F87">
              <w:rPr>
                <w:rFonts w:ascii="Verdana" w:hAnsi="Verdana"/>
                <w:lang w:val="en-GB"/>
              </w:rPr>
              <w:t>Housing Programme for Persons with Intellectual and Developmental Disabilities 2010–2015 (</w:t>
            </w:r>
            <w:hyperlink r:id="rId25" w:history="1">
              <w:r w:rsidRPr="00F43F87">
                <w:rPr>
                  <w:rStyle w:val="Hyperlink"/>
                  <w:rFonts w:ascii="Verdana" w:hAnsi="Verdana"/>
                  <w:i/>
                  <w:lang w:val="en-GB"/>
                </w:rPr>
                <w:t>Kehitysvammaisten asumisohjelma (KEHAS)</w:t>
              </w:r>
            </w:hyperlink>
            <w:r w:rsidRPr="00F43F87">
              <w:rPr>
                <w:rFonts w:ascii="Verdana" w:hAnsi="Verdana"/>
                <w:lang w:val="en-GB"/>
              </w:rPr>
              <w:t>)</w:t>
            </w:r>
          </w:p>
        </w:tc>
      </w:tr>
      <w:tr w:rsidR="00F13662" w:rsidRPr="00F43F87" w14:paraId="18971BF1" w14:textId="77777777" w:rsidTr="005D16AF">
        <w:trPr>
          <w:trHeight w:val="744"/>
        </w:trPr>
        <w:tc>
          <w:tcPr>
            <w:tcW w:w="0" w:type="auto"/>
            <w:vMerge w:val="restart"/>
          </w:tcPr>
          <w:p w14:paraId="77A747CD" w14:textId="77777777" w:rsidR="000206BE" w:rsidRDefault="000206BE" w:rsidP="002C3ACE">
            <w:pPr>
              <w:rPr>
                <w:rFonts w:ascii="Verdana" w:hAnsi="Verdana"/>
                <w:lang w:val="en-GB" w:bidi="en-US"/>
              </w:rPr>
            </w:pPr>
          </w:p>
          <w:p w14:paraId="6845FA9B" w14:textId="77777777" w:rsidR="000206BE" w:rsidRDefault="000206BE" w:rsidP="002C3ACE">
            <w:pPr>
              <w:rPr>
                <w:rFonts w:ascii="Verdana" w:hAnsi="Verdana"/>
                <w:lang w:val="en-GB" w:bidi="en-US"/>
              </w:rPr>
            </w:pPr>
          </w:p>
          <w:p w14:paraId="5FAC0385" w14:textId="77777777" w:rsidR="000206BE" w:rsidRDefault="000206BE" w:rsidP="002C3ACE">
            <w:pPr>
              <w:rPr>
                <w:rFonts w:ascii="Verdana" w:hAnsi="Verdana"/>
                <w:lang w:val="en-GB" w:bidi="en-US"/>
              </w:rPr>
            </w:pPr>
          </w:p>
          <w:p w14:paraId="650FDEC7" w14:textId="77777777" w:rsidR="000206BE" w:rsidRDefault="000206BE" w:rsidP="002C3ACE">
            <w:pPr>
              <w:rPr>
                <w:rFonts w:ascii="Verdana" w:hAnsi="Verdana"/>
                <w:lang w:val="en-GB" w:bidi="en-US"/>
              </w:rPr>
            </w:pPr>
          </w:p>
          <w:p w14:paraId="2CE273DA" w14:textId="77777777" w:rsidR="000206BE" w:rsidRDefault="000206BE" w:rsidP="002C3ACE">
            <w:pPr>
              <w:rPr>
                <w:rFonts w:ascii="Verdana" w:hAnsi="Verdana"/>
                <w:lang w:val="en-GB" w:bidi="en-US"/>
              </w:rPr>
            </w:pPr>
          </w:p>
          <w:p w14:paraId="734E465D" w14:textId="77777777" w:rsidR="000206BE" w:rsidRDefault="000206BE" w:rsidP="002C3ACE">
            <w:pPr>
              <w:rPr>
                <w:rFonts w:ascii="Verdana" w:hAnsi="Verdana"/>
                <w:lang w:val="en-GB" w:bidi="en-US"/>
              </w:rPr>
            </w:pPr>
          </w:p>
          <w:p w14:paraId="2F84436A" w14:textId="77777777" w:rsidR="00F13662" w:rsidRPr="00F43F87" w:rsidRDefault="00F13662" w:rsidP="002C3ACE">
            <w:pPr>
              <w:rPr>
                <w:rFonts w:ascii="Verdana" w:hAnsi="Verdana"/>
                <w:lang w:val="en-GB"/>
              </w:rPr>
            </w:pPr>
            <w:r w:rsidRPr="00F43F87">
              <w:rPr>
                <w:rFonts w:ascii="Verdana" w:hAnsi="Verdana"/>
                <w:lang w:val="en-GB" w:bidi="en-US"/>
              </w:rPr>
              <w:t>HR</w:t>
            </w:r>
          </w:p>
        </w:tc>
        <w:tc>
          <w:tcPr>
            <w:tcW w:w="0" w:type="auto"/>
          </w:tcPr>
          <w:p w14:paraId="370D698D" w14:textId="128F7A48" w:rsidR="00F13662" w:rsidRPr="00F43F87" w:rsidRDefault="00F13662" w:rsidP="002C3ACE">
            <w:pPr>
              <w:rPr>
                <w:rFonts w:ascii="Verdana" w:hAnsi="Verdana"/>
                <w:lang w:val="en-GB"/>
              </w:rPr>
            </w:pPr>
            <w:r w:rsidRPr="00F43F87">
              <w:rPr>
                <w:rFonts w:ascii="Verdana" w:hAnsi="Verdana"/>
                <w:lang w:val="en-GB"/>
              </w:rPr>
              <w:t>Plan of Transformation and Deinstitutionalization of Social Welfare Homes and Other Legal Entities Performing Social Welfare Activities in the Republic of Croatia for the Period 2011–2016 (2018) (</w:t>
            </w:r>
            <w:hyperlink r:id="rId26" w:history="1">
              <w:r w:rsidRPr="00F43F87">
                <w:rPr>
                  <w:rStyle w:val="Hyperlink"/>
                  <w:rFonts w:ascii="Verdana" w:hAnsi="Verdana"/>
                  <w:i/>
                  <w:lang w:val="en-GB"/>
                </w:rPr>
                <w:t>Plan transformacije i deninstitucionalizacije domova socijalne skrbi i drugih pravnih osoba koje obavljaju djelatnost socijalne skrbi u Republici Hrvatskoj u periodu 2011. – 2016. (2018.)</w:t>
              </w:r>
            </w:hyperlink>
            <w:r w:rsidRPr="00F43F87">
              <w:rPr>
                <w:rFonts w:ascii="Verdana" w:hAnsi="Verdana"/>
                <w:lang w:val="en-GB"/>
              </w:rPr>
              <w:t>)</w:t>
            </w:r>
          </w:p>
        </w:tc>
      </w:tr>
      <w:tr w:rsidR="00F13662" w:rsidRPr="00F43F87" w14:paraId="63A099BC" w14:textId="77777777" w:rsidTr="005D16AF">
        <w:trPr>
          <w:trHeight w:val="743"/>
        </w:trPr>
        <w:tc>
          <w:tcPr>
            <w:tcW w:w="0" w:type="auto"/>
            <w:vMerge/>
          </w:tcPr>
          <w:p w14:paraId="1A4EC5EB" w14:textId="77777777" w:rsidR="00F13662" w:rsidRPr="00F43F87" w:rsidRDefault="00F13662" w:rsidP="002C3ACE">
            <w:pPr>
              <w:rPr>
                <w:rFonts w:ascii="Verdana" w:hAnsi="Verdana"/>
                <w:lang w:bidi="en-US"/>
              </w:rPr>
            </w:pPr>
          </w:p>
        </w:tc>
        <w:tc>
          <w:tcPr>
            <w:tcW w:w="0" w:type="auto"/>
          </w:tcPr>
          <w:p w14:paraId="5B0B82AA" w14:textId="5816521F" w:rsidR="005D16AF" w:rsidRPr="000206BE" w:rsidRDefault="00F13662" w:rsidP="002C3ACE">
            <w:pPr>
              <w:rPr>
                <w:rFonts w:ascii="Verdana" w:hAnsi="Verdana"/>
                <w:lang w:val="en-GB"/>
              </w:rPr>
            </w:pPr>
            <w:r w:rsidRPr="00F43F87">
              <w:rPr>
                <w:rFonts w:ascii="Verdana" w:hAnsi="Verdana"/>
                <w:lang w:val="en-GB"/>
              </w:rPr>
              <w:t xml:space="preserve">Operational Plan of Transformation and Deinstitutionalization of Social Welfare Homes and Other Legal Entities Performing Social Welfare Activities in the Republic of Croatia for the Period 2014–2016 </w:t>
            </w:r>
            <w:r w:rsidRPr="00F43F87">
              <w:rPr>
                <w:rFonts w:ascii="Verdana" w:hAnsi="Verdana"/>
                <w:i/>
                <w:lang w:val="en-GB"/>
              </w:rPr>
              <w:t>(</w:t>
            </w:r>
            <w:hyperlink r:id="rId27" w:history="1">
              <w:r w:rsidRPr="00F43F87">
                <w:rPr>
                  <w:rStyle w:val="Hyperlink"/>
                  <w:rFonts w:ascii="Verdana" w:hAnsi="Verdana"/>
                  <w:i/>
                  <w:lang w:val="en-GB"/>
                </w:rPr>
                <w:t>Operativni plan deinstitucionalizacije i transformacije domova socijalne skrbi i drugih pravnih osoba koje obavljaju djelatnost socijalne skrbi u Republici Hrvatskoj 2014. – 2016</w:t>
              </w:r>
              <w:r w:rsidRPr="00F43F87">
                <w:rPr>
                  <w:rStyle w:val="Hyperlink"/>
                  <w:rFonts w:ascii="Verdana" w:hAnsi="Verdana"/>
                  <w:lang w:val="en-GB"/>
                </w:rPr>
                <w:t>.</w:t>
              </w:r>
            </w:hyperlink>
            <w:r w:rsidRPr="00F43F87">
              <w:rPr>
                <w:rFonts w:ascii="Verdana" w:hAnsi="Verdana"/>
                <w:lang w:val="en-GB"/>
              </w:rPr>
              <w:t>)</w:t>
            </w:r>
          </w:p>
        </w:tc>
      </w:tr>
      <w:tr w:rsidR="00F13662" w:rsidRPr="00F43F87" w14:paraId="1F136636" w14:textId="77777777" w:rsidTr="005D16AF">
        <w:trPr>
          <w:trHeight w:val="372"/>
        </w:trPr>
        <w:tc>
          <w:tcPr>
            <w:tcW w:w="0" w:type="auto"/>
            <w:vMerge w:val="restart"/>
          </w:tcPr>
          <w:p w14:paraId="2C34A2BD" w14:textId="77777777" w:rsidR="000206BE" w:rsidRDefault="000206BE" w:rsidP="002C3ACE">
            <w:pPr>
              <w:rPr>
                <w:rFonts w:ascii="Verdana" w:hAnsi="Verdana"/>
                <w:lang w:val="en-GB" w:bidi="en-US"/>
              </w:rPr>
            </w:pPr>
          </w:p>
          <w:p w14:paraId="170569CF" w14:textId="77777777" w:rsidR="000206BE" w:rsidRDefault="000206BE" w:rsidP="002C3ACE">
            <w:pPr>
              <w:rPr>
                <w:rFonts w:ascii="Verdana" w:hAnsi="Verdana"/>
                <w:lang w:val="en-GB" w:bidi="en-US"/>
              </w:rPr>
            </w:pPr>
          </w:p>
          <w:p w14:paraId="45B8D50F" w14:textId="77777777" w:rsidR="000206BE" w:rsidRDefault="000206BE" w:rsidP="002C3ACE">
            <w:pPr>
              <w:rPr>
                <w:rFonts w:ascii="Verdana" w:hAnsi="Verdana"/>
                <w:lang w:val="en-GB" w:bidi="en-US"/>
              </w:rPr>
            </w:pPr>
          </w:p>
          <w:p w14:paraId="5ED28D65" w14:textId="77777777" w:rsidR="000206BE" w:rsidRDefault="000206BE" w:rsidP="002C3ACE">
            <w:pPr>
              <w:rPr>
                <w:rFonts w:ascii="Verdana" w:hAnsi="Verdana"/>
                <w:lang w:val="en-GB" w:bidi="en-US"/>
              </w:rPr>
            </w:pPr>
          </w:p>
          <w:p w14:paraId="4E873993" w14:textId="77777777" w:rsidR="000206BE" w:rsidRDefault="000206BE" w:rsidP="002C3ACE">
            <w:pPr>
              <w:rPr>
                <w:rFonts w:ascii="Verdana" w:hAnsi="Verdana"/>
                <w:lang w:val="en-GB" w:bidi="en-US"/>
              </w:rPr>
            </w:pPr>
          </w:p>
          <w:p w14:paraId="34B8AD18" w14:textId="77777777" w:rsidR="000206BE" w:rsidRDefault="000206BE" w:rsidP="002C3ACE">
            <w:pPr>
              <w:rPr>
                <w:rFonts w:ascii="Verdana" w:hAnsi="Verdana"/>
                <w:lang w:val="en-GB" w:bidi="en-US"/>
              </w:rPr>
            </w:pPr>
          </w:p>
          <w:p w14:paraId="2BD552C1" w14:textId="77777777" w:rsidR="000206BE" w:rsidRDefault="000206BE" w:rsidP="002C3ACE">
            <w:pPr>
              <w:rPr>
                <w:rFonts w:ascii="Verdana" w:hAnsi="Verdana"/>
                <w:lang w:val="en-GB" w:bidi="en-US"/>
              </w:rPr>
            </w:pPr>
          </w:p>
          <w:p w14:paraId="31D47235" w14:textId="77777777" w:rsidR="000206BE" w:rsidRDefault="000206BE" w:rsidP="002C3ACE">
            <w:pPr>
              <w:rPr>
                <w:rFonts w:ascii="Verdana" w:hAnsi="Verdana"/>
                <w:lang w:val="en-GB" w:bidi="en-US"/>
              </w:rPr>
            </w:pPr>
          </w:p>
          <w:p w14:paraId="7817BE98" w14:textId="77777777" w:rsidR="00F13662" w:rsidRPr="00F43F87" w:rsidRDefault="00F13662" w:rsidP="002C3ACE">
            <w:pPr>
              <w:rPr>
                <w:rFonts w:ascii="Verdana" w:hAnsi="Verdana"/>
                <w:lang w:val="en-GB"/>
              </w:rPr>
            </w:pPr>
            <w:r w:rsidRPr="00F43F87">
              <w:rPr>
                <w:rFonts w:ascii="Verdana" w:hAnsi="Verdana"/>
                <w:lang w:val="en-GB" w:bidi="en-US"/>
              </w:rPr>
              <w:t>HU</w:t>
            </w:r>
          </w:p>
        </w:tc>
        <w:tc>
          <w:tcPr>
            <w:tcW w:w="0" w:type="auto"/>
          </w:tcPr>
          <w:p w14:paraId="59F820E9" w14:textId="105B11C0" w:rsidR="00F13662" w:rsidRPr="00F43F87" w:rsidRDefault="00F13662" w:rsidP="002C3ACE">
            <w:pPr>
              <w:rPr>
                <w:rFonts w:ascii="Verdana" w:hAnsi="Verdana"/>
                <w:lang w:val="en-GB"/>
              </w:rPr>
            </w:pPr>
            <w:r w:rsidRPr="00F43F87">
              <w:rPr>
                <w:rFonts w:ascii="Verdana" w:hAnsi="Verdana"/>
                <w:lang w:val="en-GB"/>
              </w:rPr>
              <w:t>Strategy for the Substitution of Accommodation of People with Disabilities at Social Institutions</w:t>
            </w:r>
            <w:r w:rsidRPr="00F43F87">
              <w:rPr>
                <w:rFonts w:ascii="Verdana" w:hAnsi="Verdana"/>
              </w:rPr>
              <w:t xml:space="preserve"> 2011-2041 </w:t>
            </w:r>
            <w:r w:rsidRPr="00F43F87">
              <w:rPr>
                <w:rFonts w:ascii="Verdana" w:hAnsi="Verdana"/>
                <w:lang w:val="en-GB"/>
              </w:rPr>
              <w:t>(</w:t>
            </w:r>
            <w:hyperlink r:id="rId28" w:history="1">
              <w:r w:rsidRPr="00F43F87">
                <w:rPr>
                  <w:rStyle w:val="Hyperlink"/>
                  <w:rFonts w:ascii="Verdana" w:hAnsi="Verdana"/>
                  <w:i/>
                  <w:iCs/>
                  <w:lang w:val="en-GB"/>
                </w:rPr>
                <w:t>Stratégia a fogyatékos személyek számára ápolást-gondozást nyújtó szociális intézményi férőhelyek kiváltásáról 2011-2041</w:t>
              </w:r>
            </w:hyperlink>
            <w:r w:rsidRPr="00F43F87">
              <w:rPr>
                <w:rFonts w:ascii="Verdana" w:hAnsi="Verdana"/>
              </w:rPr>
              <w:t>)</w:t>
            </w:r>
          </w:p>
        </w:tc>
      </w:tr>
      <w:tr w:rsidR="00F13662" w:rsidRPr="00F43F87" w14:paraId="191EAB0B" w14:textId="77777777" w:rsidTr="005D16AF">
        <w:trPr>
          <w:trHeight w:val="372"/>
        </w:trPr>
        <w:tc>
          <w:tcPr>
            <w:tcW w:w="0" w:type="auto"/>
            <w:vMerge/>
          </w:tcPr>
          <w:p w14:paraId="74D37DCE" w14:textId="77777777" w:rsidR="00F13662" w:rsidRPr="00F43F87" w:rsidRDefault="00F13662" w:rsidP="002C3ACE">
            <w:pPr>
              <w:rPr>
                <w:rFonts w:ascii="Verdana" w:hAnsi="Verdana"/>
                <w:lang w:bidi="en-US"/>
              </w:rPr>
            </w:pPr>
          </w:p>
        </w:tc>
        <w:tc>
          <w:tcPr>
            <w:tcW w:w="0" w:type="auto"/>
          </w:tcPr>
          <w:p w14:paraId="708E2B43" w14:textId="6B4D5E4D" w:rsidR="00F13662" w:rsidRPr="00F43F87" w:rsidRDefault="00F13662" w:rsidP="002C3ACE">
            <w:pPr>
              <w:rPr>
                <w:rFonts w:ascii="Verdana" w:hAnsi="Verdana"/>
                <w:lang w:val="en-GB"/>
              </w:rPr>
            </w:pPr>
            <w:r w:rsidRPr="00F43F87">
              <w:rPr>
                <w:rFonts w:ascii="Verdana" w:hAnsi="Verdana"/>
                <w:lang w:val="en-GB"/>
              </w:rPr>
              <w:t>Development Principles for the Implementation of the Strategy for the Substitution of Accommodation of People with Disabilities at Social Institutions (2011–2041), 2015–2020’ (</w:t>
            </w:r>
            <w:hyperlink r:id="rId29" w:history="1">
              <w:r w:rsidRPr="00F43F87">
                <w:rPr>
                  <w:rStyle w:val="Hyperlink"/>
                  <w:rFonts w:ascii="Verdana" w:hAnsi="Verdana"/>
                  <w:i/>
                  <w:lang w:val="en-GB"/>
                </w:rPr>
                <w:t>Fejlesztési alapvetések a fogyatékos személyek szociális intézményi férőhelyi kiváltásáról szóló stratégia (2011–2041) végrehajtásához, 2015–2020</w:t>
              </w:r>
            </w:hyperlink>
            <w:r w:rsidRPr="00F43F87">
              <w:rPr>
                <w:rFonts w:ascii="Verdana" w:hAnsi="Verdana"/>
                <w:lang w:val="en-GB"/>
              </w:rPr>
              <w:t>)</w:t>
            </w:r>
          </w:p>
        </w:tc>
      </w:tr>
      <w:tr w:rsidR="00F13662" w:rsidRPr="00F43F87" w14:paraId="528A956B" w14:textId="77777777" w:rsidTr="005D16AF">
        <w:trPr>
          <w:trHeight w:val="372"/>
        </w:trPr>
        <w:tc>
          <w:tcPr>
            <w:tcW w:w="0" w:type="auto"/>
            <w:vMerge/>
          </w:tcPr>
          <w:p w14:paraId="4644D7BF" w14:textId="77777777" w:rsidR="00F13662" w:rsidRPr="00F43F87" w:rsidRDefault="00F13662" w:rsidP="002C3ACE">
            <w:pPr>
              <w:rPr>
                <w:rFonts w:ascii="Verdana" w:hAnsi="Verdana"/>
                <w:lang w:val="en-GB" w:bidi="en-US"/>
              </w:rPr>
            </w:pPr>
          </w:p>
        </w:tc>
        <w:tc>
          <w:tcPr>
            <w:tcW w:w="0" w:type="auto"/>
          </w:tcPr>
          <w:p w14:paraId="061E46B1" w14:textId="5310573B" w:rsidR="00F13662" w:rsidRPr="00F43F87" w:rsidRDefault="002746D5" w:rsidP="002C3ACE">
            <w:pPr>
              <w:rPr>
                <w:rFonts w:ascii="Verdana" w:hAnsi="Verdana"/>
                <w:lang w:val="en-GB"/>
              </w:rPr>
            </w:pPr>
            <w:hyperlink r:id="rId30" w:history="1">
              <w:r w:rsidR="00F13662" w:rsidRPr="00F43F87">
                <w:rPr>
                  <w:rStyle w:val="Hyperlink"/>
                  <w:rFonts w:ascii="Verdana" w:hAnsi="Verdana"/>
                  <w:lang w:val="en-GB"/>
                </w:rPr>
                <w:t>National Disability Programme 2015–2025</w:t>
              </w:r>
            </w:hyperlink>
            <w:r w:rsidR="00F13662" w:rsidRPr="00F43F87">
              <w:rPr>
                <w:rFonts w:ascii="Verdana" w:hAnsi="Verdana"/>
                <w:lang w:val="en-GB"/>
              </w:rPr>
              <w:t xml:space="preserve"> (</w:t>
            </w:r>
            <w:hyperlink r:id="rId31" w:history="1">
              <w:r w:rsidR="00F13662" w:rsidRPr="00F43F87">
                <w:rPr>
                  <w:rStyle w:val="Hyperlink"/>
                  <w:rFonts w:ascii="Verdana" w:hAnsi="Verdana"/>
                  <w:i/>
                  <w:lang w:val="en-GB"/>
                </w:rPr>
                <w:t>Országos Fogyatékosságügyi Program 2015–2025</w:t>
              </w:r>
            </w:hyperlink>
            <w:r w:rsidR="00F13662" w:rsidRPr="00F43F87">
              <w:rPr>
                <w:rFonts w:ascii="Verdana" w:hAnsi="Verdana"/>
              </w:rPr>
              <w:t>)</w:t>
            </w:r>
          </w:p>
        </w:tc>
      </w:tr>
      <w:tr w:rsidR="00F13662" w:rsidRPr="00F43F87" w14:paraId="3D9CDBAB" w14:textId="77777777" w:rsidTr="005D16AF">
        <w:trPr>
          <w:trHeight w:val="372"/>
        </w:trPr>
        <w:tc>
          <w:tcPr>
            <w:tcW w:w="0" w:type="auto"/>
            <w:vMerge/>
          </w:tcPr>
          <w:p w14:paraId="05189CD9" w14:textId="77777777" w:rsidR="00F13662" w:rsidRPr="00F43F87" w:rsidRDefault="00F13662" w:rsidP="002C3ACE">
            <w:pPr>
              <w:rPr>
                <w:rFonts w:ascii="Verdana" w:hAnsi="Verdana"/>
                <w:lang w:bidi="en-US"/>
              </w:rPr>
            </w:pPr>
          </w:p>
        </w:tc>
        <w:tc>
          <w:tcPr>
            <w:tcW w:w="0" w:type="auto"/>
          </w:tcPr>
          <w:p w14:paraId="1C45D22D" w14:textId="04CD6421" w:rsidR="005D16AF" w:rsidRPr="00F43F87" w:rsidRDefault="00F13662" w:rsidP="002C3ACE">
            <w:pPr>
              <w:rPr>
                <w:rFonts w:ascii="Verdana" w:hAnsi="Verdana"/>
              </w:rPr>
            </w:pPr>
            <w:r w:rsidRPr="00F43F87">
              <w:rPr>
                <w:rFonts w:ascii="Verdana" w:hAnsi="Verdana"/>
                <w:lang w:val="en-GB"/>
              </w:rPr>
              <w:t>Action Plan for the Implementation of the National Disability Programme for 2015–2018 (</w:t>
            </w:r>
            <w:hyperlink r:id="rId32" w:history="1">
              <w:r w:rsidRPr="00F43F87">
                <w:rPr>
                  <w:rStyle w:val="Hyperlink"/>
                  <w:rFonts w:ascii="Verdana" w:hAnsi="Verdana"/>
                  <w:i/>
                  <w:lang w:val="en-GB"/>
                </w:rPr>
                <w:t>Országos Fogyatékosságügyi Program végrehajtásának 2015–2018. évekre vonatkozó Intézkedési Terve</w:t>
              </w:r>
            </w:hyperlink>
            <w:r w:rsidRPr="00F43F87">
              <w:rPr>
                <w:rFonts w:ascii="Verdana" w:hAnsi="Verdana"/>
              </w:rPr>
              <w:t>)</w:t>
            </w:r>
          </w:p>
        </w:tc>
      </w:tr>
      <w:tr w:rsidR="00F13662" w:rsidRPr="00F43F87" w14:paraId="3AF238CF" w14:textId="77777777" w:rsidTr="005D16AF">
        <w:tc>
          <w:tcPr>
            <w:tcW w:w="0" w:type="auto"/>
          </w:tcPr>
          <w:p w14:paraId="29930EA7" w14:textId="77777777" w:rsidR="00F13662" w:rsidRPr="00F43F87" w:rsidRDefault="00F13662" w:rsidP="002C3ACE">
            <w:pPr>
              <w:rPr>
                <w:rFonts w:ascii="Verdana" w:hAnsi="Verdana"/>
                <w:lang w:val="en-GB"/>
              </w:rPr>
            </w:pPr>
            <w:r w:rsidRPr="00F43F87">
              <w:rPr>
                <w:rFonts w:ascii="Verdana" w:hAnsi="Verdana"/>
                <w:lang w:val="en-GB" w:bidi="en-US"/>
              </w:rPr>
              <w:t>IE</w:t>
            </w:r>
          </w:p>
        </w:tc>
        <w:tc>
          <w:tcPr>
            <w:tcW w:w="0" w:type="auto"/>
          </w:tcPr>
          <w:p w14:paraId="09A5DBE9" w14:textId="3E2E28A8" w:rsidR="00F13662" w:rsidRPr="000206BE" w:rsidRDefault="002746D5" w:rsidP="002C3ACE">
            <w:pPr>
              <w:rPr>
                <w:rFonts w:ascii="Verdana" w:hAnsi="Verdana"/>
              </w:rPr>
            </w:pPr>
            <w:hyperlink r:id="rId33" w:history="1">
              <w:r w:rsidR="00F13662" w:rsidRPr="00F43F87">
                <w:rPr>
                  <w:rStyle w:val="Hyperlink"/>
                  <w:rFonts w:ascii="Verdana" w:hAnsi="Verdana"/>
                  <w:lang w:val="en-GB"/>
                </w:rPr>
                <w:t>Time to Move on from Congregated Settings – A Strategy for Community Inclusion</w:t>
              </w:r>
            </w:hyperlink>
          </w:p>
        </w:tc>
      </w:tr>
      <w:tr w:rsidR="00F13662" w:rsidRPr="00F43F87" w14:paraId="573634E9" w14:textId="77777777" w:rsidTr="005D16AF">
        <w:tc>
          <w:tcPr>
            <w:tcW w:w="0" w:type="auto"/>
          </w:tcPr>
          <w:p w14:paraId="797A3BC1" w14:textId="77777777" w:rsidR="00F13662" w:rsidRPr="00F43F87" w:rsidRDefault="00F13662" w:rsidP="002C3ACE">
            <w:pPr>
              <w:rPr>
                <w:rFonts w:ascii="Verdana" w:hAnsi="Verdana"/>
                <w:lang w:val="en-GB"/>
              </w:rPr>
            </w:pPr>
            <w:r w:rsidRPr="00F43F87">
              <w:rPr>
                <w:rFonts w:ascii="Verdana" w:hAnsi="Verdana"/>
                <w:lang w:val="en-GB" w:bidi="en-US"/>
              </w:rPr>
              <w:t>IT</w:t>
            </w:r>
          </w:p>
        </w:tc>
        <w:tc>
          <w:tcPr>
            <w:tcW w:w="0" w:type="auto"/>
          </w:tcPr>
          <w:p w14:paraId="61536428" w14:textId="1E1EA80A" w:rsidR="00F13662" w:rsidRPr="000206BE" w:rsidRDefault="002746D5" w:rsidP="002C3ACE">
            <w:pPr>
              <w:rPr>
                <w:rFonts w:ascii="Verdana" w:hAnsi="Verdana"/>
              </w:rPr>
            </w:pPr>
            <w:hyperlink r:id="rId34" w:history="1">
              <w:r w:rsidR="00F13662" w:rsidRPr="00F43F87">
                <w:rPr>
                  <w:rStyle w:val="Hyperlink"/>
                  <w:rFonts w:ascii="Verdana" w:hAnsi="Verdana"/>
                  <w:lang w:val="en-GB"/>
                </w:rPr>
                <w:t>Biennial Action Plan for the Promotion of the Rights and the Integration of People with Disabilities</w:t>
              </w:r>
            </w:hyperlink>
            <w:r w:rsidR="00F13662" w:rsidRPr="00F43F87">
              <w:rPr>
                <w:rFonts w:ascii="Verdana" w:hAnsi="Verdana"/>
                <w:lang w:val="en-GB"/>
              </w:rPr>
              <w:t xml:space="preserve"> (2014–2015) (</w:t>
            </w:r>
            <w:r w:rsidR="00F13662" w:rsidRPr="00F43F87">
              <w:rPr>
                <w:rFonts w:ascii="Verdana" w:hAnsi="Verdana"/>
                <w:i/>
                <w:lang w:val="en-GB"/>
              </w:rPr>
              <w:t>P</w:t>
            </w:r>
            <w:r w:rsidR="00F13662" w:rsidRPr="00F43F87">
              <w:rPr>
                <w:rFonts w:ascii="Verdana" w:hAnsi="Verdana"/>
                <w:bCs/>
                <w:i/>
                <w:lang w:val="en-GB"/>
              </w:rPr>
              <w:t>rogramma di azione biennale per la promozione dei diritti e l’integrazione delle persone con disabilità</w:t>
            </w:r>
            <w:r w:rsidR="00F13662" w:rsidRPr="00F43F87">
              <w:rPr>
                <w:rFonts w:ascii="Verdana" w:hAnsi="Verdana"/>
                <w:bCs/>
              </w:rPr>
              <w:t>)</w:t>
            </w:r>
          </w:p>
        </w:tc>
      </w:tr>
      <w:tr w:rsidR="00F13662" w:rsidRPr="00F43F87" w14:paraId="5B2F0892" w14:textId="77777777" w:rsidTr="005D16AF">
        <w:tc>
          <w:tcPr>
            <w:tcW w:w="0" w:type="auto"/>
          </w:tcPr>
          <w:p w14:paraId="5598BB70" w14:textId="77777777" w:rsidR="00F13662" w:rsidRPr="00F43F87" w:rsidRDefault="00F13662" w:rsidP="002C3ACE">
            <w:pPr>
              <w:rPr>
                <w:rFonts w:ascii="Verdana" w:hAnsi="Verdana"/>
                <w:lang w:val="en-GB"/>
              </w:rPr>
            </w:pPr>
            <w:r w:rsidRPr="00F43F87">
              <w:rPr>
                <w:rFonts w:ascii="Verdana" w:hAnsi="Verdana"/>
                <w:lang w:val="en-GB" w:bidi="en-US"/>
              </w:rPr>
              <w:t>LT</w:t>
            </w:r>
          </w:p>
        </w:tc>
        <w:tc>
          <w:tcPr>
            <w:tcW w:w="0" w:type="auto"/>
          </w:tcPr>
          <w:p w14:paraId="5F5BADFF" w14:textId="5EE32903" w:rsidR="00F13662" w:rsidRPr="00F43F87" w:rsidRDefault="002746D5" w:rsidP="002C3ACE">
            <w:pPr>
              <w:rPr>
                <w:rFonts w:ascii="Verdana" w:hAnsi="Verdana"/>
                <w:lang w:val="en-GB"/>
              </w:rPr>
            </w:pPr>
            <w:hyperlink r:id="rId35" w:history="1">
              <w:r w:rsidR="00F13662" w:rsidRPr="00F43F87">
                <w:rPr>
                  <w:rStyle w:val="Hyperlink"/>
                  <w:rFonts w:ascii="Verdana" w:hAnsi="Verdana"/>
                  <w:lang w:val="en-GB"/>
                </w:rPr>
                <w:t>Action Plan for the Transition from Institutional Care to Community-Based Services for People with Disabilities and Orphans for 2014–2020</w:t>
              </w:r>
            </w:hyperlink>
            <w:r w:rsidR="00F13662" w:rsidRPr="00F43F87">
              <w:rPr>
                <w:rFonts w:ascii="Verdana" w:hAnsi="Verdana"/>
                <w:lang w:val="en-GB"/>
              </w:rPr>
              <w:t xml:space="preserve"> (</w:t>
            </w:r>
            <w:r w:rsidR="00F13662" w:rsidRPr="00F43F87">
              <w:rPr>
                <w:rFonts w:ascii="Verdana" w:hAnsi="Verdana"/>
                <w:i/>
                <w:lang w:val="en-GB"/>
              </w:rPr>
              <w:t xml:space="preserve">Lietuvos Respublikos socialinės apsaugos ir darbo ministro </w:t>
            </w:r>
            <w:r w:rsidR="00F13662" w:rsidRPr="00F43F87">
              <w:rPr>
                <w:rFonts w:ascii="Verdana" w:hAnsi="Verdana"/>
                <w:i/>
                <w:lang w:val="en-GB"/>
              </w:rPr>
              <w:lastRenderedPageBreak/>
              <w:t>įsakymas „Dėl perėjimo nuo institucinės globos prie šeimoje ir bendruomenėje teikiamų paslaugų neįgaliesiems ir likusiems be tėvų globos vaikams 2014–2020 metų veiksmų plano patvirtinimo</w:t>
            </w:r>
            <w:r w:rsidR="00F13662" w:rsidRPr="00F43F87">
              <w:rPr>
                <w:rFonts w:ascii="Verdana" w:hAnsi="Verdana"/>
                <w:lang w:val="en-GB"/>
              </w:rPr>
              <w:t>)</w:t>
            </w:r>
          </w:p>
        </w:tc>
      </w:tr>
      <w:tr w:rsidR="00F13662" w:rsidRPr="002746D5" w14:paraId="3C207543" w14:textId="77777777" w:rsidTr="005D16AF">
        <w:tc>
          <w:tcPr>
            <w:tcW w:w="0" w:type="auto"/>
          </w:tcPr>
          <w:p w14:paraId="0C8E2370" w14:textId="49230F2F" w:rsidR="00F13662" w:rsidRPr="00F43F87" w:rsidRDefault="00F13662" w:rsidP="002C3ACE">
            <w:pPr>
              <w:rPr>
                <w:rFonts w:ascii="Verdana" w:hAnsi="Verdana"/>
                <w:lang w:val="en-GB" w:bidi="en-US"/>
              </w:rPr>
            </w:pPr>
            <w:r w:rsidRPr="00F43F87">
              <w:rPr>
                <w:rFonts w:ascii="Verdana" w:hAnsi="Verdana"/>
                <w:lang w:val="en-GB" w:bidi="en-US"/>
              </w:rPr>
              <w:lastRenderedPageBreak/>
              <w:t>LU</w:t>
            </w:r>
          </w:p>
        </w:tc>
        <w:tc>
          <w:tcPr>
            <w:tcW w:w="0" w:type="auto"/>
          </w:tcPr>
          <w:p w14:paraId="43F2291F" w14:textId="16742A3A" w:rsidR="00F13662" w:rsidRPr="00F43F87" w:rsidRDefault="00F13662" w:rsidP="002C3ACE">
            <w:pPr>
              <w:rPr>
                <w:rFonts w:ascii="Verdana" w:hAnsi="Verdana"/>
                <w:lang w:val="fr-FR"/>
              </w:rPr>
            </w:pPr>
            <w:r w:rsidRPr="00F43F87">
              <w:rPr>
                <w:rFonts w:ascii="Verdana" w:hAnsi="Verdana"/>
                <w:lang w:val="fr-FR"/>
              </w:rPr>
              <w:t>Reform of the Psychiatric Sector in Luxembourg and Mental Health Policy (</w:t>
            </w:r>
            <w:hyperlink r:id="rId36" w:history="1">
              <w:r w:rsidRPr="00F43F87">
                <w:rPr>
                  <w:rStyle w:val="Hyperlink"/>
                  <w:rFonts w:ascii="Verdana" w:hAnsi="Verdana"/>
                  <w:i/>
                  <w:lang w:val="fr-FR"/>
                </w:rPr>
                <w:t>Réforme de la psychiatrie et politique de santé mentale au Luxembourg</w:t>
              </w:r>
            </w:hyperlink>
            <w:r w:rsidRPr="00F43F87">
              <w:rPr>
                <w:rFonts w:ascii="Verdana" w:hAnsi="Verdana"/>
                <w:lang w:val="fr-FR"/>
              </w:rPr>
              <w:t xml:space="preserve">) </w:t>
            </w:r>
          </w:p>
        </w:tc>
      </w:tr>
      <w:tr w:rsidR="00F13662" w:rsidRPr="00F43F87" w14:paraId="380192A7" w14:textId="77777777" w:rsidTr="005D16AF">
        <w:trPr>
          <w:trHeight w:val="372"/>
        </w:trPr>
        <w:tc>
          <w:tcPr>
            <w:tcW w:w="0" w:type="auto"/>
            <w:vMerge w:val="restart"/>
          </w:tcPr>
          <w:p w14:paraId="0184B9E2" w14:textId="77777777" w:rsidR="000206BE" w:rsidRPr="004900B7" w:rsidRDefault="000206BE" w:rsidP="002C3ACE">
            <w:pPr>
              <w:rPr>
                <w:rFonts w:ascii="Verdana" w:hAnsi="Verdana"/>
                <w:lang w:val="fr-FR" w:bidi="en-US"/>
              </w:rPr>
            </w:pPr>
          </w:p>
          <w:p w14:paraId="603A3583" w14:textId="77777777" w:rsidR="000206BE" w:rsidRPr="004900B7" w:rsidRDefault="000206BE" w:rsidP="002C3ACE">
            <w:pPr>
              <w:rPr>
                <w:rFonts w:ascii="Verdana" w:hAnsi="Verdana"/>
                <w:lang w:val="fr-FR" w:bidi="en-US"/>
              </w:rPr>
            </w:pPr>
          </w:p>
          <w:p w14:paraId="3423C6C5" w14:textId="77777777" w:rsidR="000206BE" w:rsidRPr="004900B7" w:rsidRDefault="000206BE" w:rsidP="002C3ACE">
            <w:pPr>
              <w:rPr>
                <w:rFonts w:ascii="Verdana" w:hAnsi="Verdana"/>
                <w:lang w:val="fr-FR" w:bidi="en-US"/>
              </w:rPr>
            </w:pPr>
          </w:p>
          <w:p w14:paraId="443F4D80" w14:textId="77777777" w:rsidR="00F13662" w:rsidRPr="00F43F87" w:rsidRDefault="00F13662" w:rsidP="002C3ACE">
            <w:pPr>
              <w:rPr>
                <w:rFonts w:ascii="Verdana" w:hAnsi="Verdana"/>
                <w:lang w:val="en-GB"/>
              </w:rPr>
            </w:pPr>
            <w:r w:rsidRPr="00F43F87">
              <w:rPr>
                <w:rFonts w:ascii="Verdana" w:hAnsi="Verdana"/>
                <w:lang w:val="en-GB" w:bidi="en-US"/>
              </w:rPr>
              <w:t>LV</w:t>
            </w:r>
          </w:p>
        </w:tc>
        <w:tc>
          <w:tcPr>
            <w:tcW w:w="0" w:type="auto"/>
          </w:tcPr>
          <w:p w14:paraId="2D2D256D" w14:textId="0442C491" w:rsidR="00F13662" w:rsidRPr="00F43F87" w:rsidRDefault="002746D5" w:rsidP="002C3ACE">
            <w:pPr>
              <w:rPr>
                <w:rFonts w:ascii="Verdana" w:hAnsi="Verdana"/>
                <w:lang w:val="en-GB"/>
              </w:rPr>
            </w:pPr>
            <w:hyperlink r:id="rId37" w:history="1">
              <w:r w:rsidR="00F13662" w:rsidRPr="00F43F87">
                <w:rPr>
                  <w:rStyle w:val="Hyperlink"/>
                  <w:rFonts w:ascii="Verdana" w:hAnsi="Verdana"/>
                  <w:lang w:val="en-GB"/>
                </w:rPr>
                <w:t>Guidelines for the Implementation of the United Nations Convention on the Rights of Persons with Disabilities 2014–2020</w:t>
              </w:r>
            </w:hyperlink>
            <w:r w:rsidR="00F13662" w:rsidRPr="00F43F87">
              <w:rPr>
                <w:rFonts w:ascii="Verdana" w:hAnsi="Verdana"/>
                <w:iCs/>
                <w:lang w:val="en-GB"/>
              </w:rPr>
              <w:t xml:space="preserve"> (</w:t>
            </w:r>
            <w:r w:rsidR="00F13662" w:rsidRPr="00F43F87">
              <w:rPr>
                <w:rFonts w:ascii="Verdana" w:hAnsi="Verdana"/>
                <w:bCs/>
                <w:i/>
                <w:lang w:val="en-GB"/>
              </w:rPr>
              <w:t>Apvienoto Nāciju Organizācijas Konvencijas par personu ar invaliditāti tiesībām īstenošanas pamatnostādnes 2014.–2020.gadam</w:t>
            </w:r>
            <w:r w:rsidR="00F13662" w:rsidRPr="00F43F87">
              <w:rPr>
                <w:rFonts w:ascii="Verdana" w:hAnsi="Verdana"/>
                <w:bCs/>
                <w:iCs/>
                <w:lang w:val="en-GB"/>
              </w:rPr>
              <w:t>)</w:t>
            </w:r>
          </w:p>
        </w:tc>
      </w:tr>
      <w:tr w:rsidR="00F13662" w:rsidRPr="00F43F87" w14:paraId="29E89CD1" w14:textId="77777777" w:rsidTr="005D16AF">
        <w:trPr>
          <w:trHeight w:val="372"/>
        </w:trPr>
        <w:tc>
          <w:tcPr>
            <w:tcW w:w="0" w:type="auto"/>
            <w:vMerge/>
          </w:tcPr>
          <w:p w14:paraId="728C4AA0" w14:textId="77777777" w:rsidR="00F13662" w:rsidRPr="00F43F87" w:rsidRDefault="00F13662" w:rsidP="002C3ACE">
            <w:pPr>
              <w:rPr>
                <w:rFonts w:ascii="Verdana" w:hAnsi="Verdana"/>
                <w:lang w:bidi="en-US"/>
              </w:rPr>
            </w:pPr>
          </w:p>
        </w:tc>
        <w:tc>
          <w:tcPr>
            <w:tcW w:w="0" w:type="auto"/>
          </w:tcPr>
          <w:p w14:paraId="0B17C4E1" w14:textId="70B0C14F" w:rsidR="00F13662" w:rsidRPr="00F43F87" w:rsidRDefault="00F13662" w:rsidP="002C3ACE">
            <w:pPr>
              <w:rPr>
                <w:rFonts w:ascii="Verdana" w:hAnsi="Verdana"/>
              </w:rPr>
            </w:pPr>
            <w:r w:rsidRPr="00F43F87">
              <w:rPr>
                <w:rFonts w:ascii="Verdana" w:hAnsi="Verdana"/>
                <w:lang w:val="en-GB"/>
              </w:rPr>
              <w:t>Guidelines on the Development of Social Services 2014–2020 (</w:t>
            </w:r>
            <w:hyperlink r:id="rId38" w:history="1">
              <w:r w:rsidRPr="00F43F87">
                <w:rPr>
                  <w:rStyle w:val="Hyperlink"/>
                  <w:rFonts w:ascii="Verdana" w:hAnsi="Verdana"/>
                  <w:i/>
                  <w:lang w:val="en-GB"/>
                </w:rPr>
                <w:t>Sociālo pakalpojumu attīstības pamatnostādnes 2014.–2020.gadam</w:t>
              </w:r>
            </w:hyperlink>
            <w:r w:rsidRPr="00F43F87">
              <w:rPr>
                <w:rFonts w:ascii="Verdana" w:hAnsi="Verdana"/>
                <w:lang w:val="en-GB"/>
              </w:rPr>
              <w:t>)</w:t>
            </w:r>
          </w:p>
        </w:tc>
      </w:tr>
      <w:tr w:rsidR="00F13662" w:rsidRPr="00F43F87" w14:paraId="5103387A" w14:textId="77777777" w:rsidTr="005D16AF">
        <w:tc>
          <w:tcPr>
            <w:tcW w:w="0" w:type="auto"/>
          </w:tcPr>
          <w:p w14:paraId="2F63D228" w14:textId="77777777" w:rsidR="00F13662" w:rsidRPr="00F43F87" w:rsidRDefault="00F13662" w:rsidP="002C3ACE">
            <w:pPr>
              <w:rPr>
                <w:rFonts w:ascii="Verdana" w:hAnsi="Verdana"/>
                <w:lang w:val="en-GB"/>
              </w:rPr>
            </w:pPr>
            <w:r w:rsidRPr="00F43F87">
              <w:rPr>
                <w:rFonts w:ascii="Verdana" w:hAnsi="Verdana"/>
                <w:lang w:val="en-GB" w:bidi="en-US"/>
              </w:rPr>
              <w:t>MT</w:t>
            </w:r>
          </w:p>
        </w:tc>
        <w:tc>
          <w:tcPr>
            <w:tcW w:w="0" w:type="auto"/>
          </w:tcPr>
          <w:p w14:paraId="238218EE" w14:textId="10BB35F2" w:rsidR="00F13662" w:rsidRPr="00F43F87" w:rsidRDefault="002746D5" w:rsidP="002C3ACE">
            <w:pPr>
              <w:rPr>
                <w:rFonts w:ascii="Verdana" w:hAnsi="Verdana"/>
                <w:lang w:val="en-GB"/>
              </w:rPr>
            </w:pPr>
            <w:hyperlink r:id="rId39" w:history="1">
              <w:r w:rsidR="00F13662" w:rsidRPr="00F43F87">
                <w:rPr>
                  <w:rStyle w:val="Hyperlink"/>
                  <w:rFonts w:ascii="Verdana" w:hAnsi="Verdana"/>
                  <w:lang w:val="en-GB"/>
                </w:rPr>
                <w:t>National Policy on the Rights of Persons with Disability</w:t>
              </w:r>
            </w:hyperlink>
          </w:p>
        </w:tc>
      </w:tr>
      <w:tr w:rsidR="00F13662" w:rsidRPr="00F43F87" w14:paraId="6D376698" w14:textId="77777777" w:rsidTr="005D16AF">
        <w:tc>
          <w:tcPr>
            <w:tcW w:w="0" w:type="auto"/>
            <w:vMerge w:val="restart"/>
          </w:tcPr>
          <w:p w14:paraId="5607CA27" w14:textId="77777777" w:rsidR="000206BE" w:rsidRDefault="000206BE" w:rsidP="002C3ACE">
            <w:pPr>
              <w:rPr>
                <w:rFonts w:ascii="Verdana" w:hAnsi="Verdana"/>
                <w:lang w:val="en-GB" w:bidi="en-US"/>
              </w:rPr>
            </w:pPr>
          </w:p>
          <w:p w14:paraId="68B63FED" w14:textId="77777777" w:rsidR="000206BE" w:rsidRDefault="000206BE" w:rsidP="002C3ACE">
            <w:pPr>
              <w:rPr>
                <w:rFonts w:ascii="Verdana" w:hAnsi="Verdana"/>
                <w:lang w:val="en-GB" w:bidi="en-US"/>
              </w:rPr>
            </w:pPr>
          </w:p>
          <w:p w14:paraId="32BF644E" w14:textId="77777777" w:rsidR="000206BE" w:rsidRDefault="000206BE" w:rsidP="002C3ACE">
            <w:pPr>
              <w:rPr>
                <w:rFonts w:ascii="Verdana" w:hAnsi="Verdana"/>
                <w:lang w:val="en-GB" w:bidi="en-US"/>
              </w:rPr>
            </w:pPr>
          </w:p>
          <w:p w14:paraId="32B1621B" w14:textId="77777777" w:rsidR="00F13662" w:rsidRPr="00F43F87" w:rsidRDefault="00F13662" w:rsidP="002C3ACE">
            <w:pPr>
              <w:rPr>
                <w:rFonts w:ascii="Verdana" w:hAnsi="Verdana"/>
                <w:lang w:val="en-GB"/>
              </w:rPr>
            </w:pPr>
            <w:r w:rsidRPr="00F43F87">
              <w:rPr>
                <w:rFonts w:ascii="Verdana" w:hAnsi="Verdana"/>
                <w:lang w:val="en-GB" w:bidi="en-US"/>
              </w:rPr>
              <w:t>RO</w:t>
            </w:r>
          </w:p>
        </w:tc>
        <w:tc>
          <w:tcPr>
            <w:tcW w:w="0" w:type="auto"/>
          </w:tcPr>
          <w:p w14:paraId="181EB5F6" w14:textId="29DDD89A" w:rsidR="00F13662" w:rsidRPr="00F43F87" w:rsidRDefault="00F13662" w:rsidP="002C3ACE">
            <w:pPr>
              <w:rPr>
                <w:rFonts w:ascii="Verdana" w:hAnsi="Verdana"/>
                <w:lang w:val="en-GB"/>
              </w:rPr>
            </w:pPr>
            <w:r w:rsidRPr="00F43F87">
              <w:rPr>
                <w:rFonts w:ascii="Verdana" w:hAnsi="Verdana"/>
                <w:lang w:val="en-GB"/>
              </w:rPr>
              <w:t>National Strategy ‘A Society without Barriers for Persons with Disabilities’ 2016–2020 (</w:t>
            </w:r>
            <w:hyperlink r:id="rId40" w:history="1">
              <w:r w:rsidRPr="00F43F87">
                <w:rPr>
                  <w:rStyle w:val="Hyperlink"/>
                  <w:rFonts w:ascii="Verdana" w:hAnsi="Verdana"/>
                  <w:bCs/>
                  <w:i/>
                  <w:lang w:val="en-GB"/>
                </w:rPr>
                <w:t xml:space="preserve">Planului operaţional privind implementarea Strategiei naţionale </w:t>
              </w:r>
              <w:r w:rsidRPr="00F43F87">
                <w:rPr>
                  <w:rStyle w:val="Hyperlink"/>
                  <w:rFonts w:ascii="Verdana" w:hAnsi="Verdana"/>
                  <w:bCs/>
                  <w:i/>
                  <w:color w:val="auto"/>
                  <w:lang w:val="en-GB"/>
                </w:rPr>
                <w:t>“</w:t>
              </w:r>
              <w:r w:rsidRPr="00F43F87">
                <w:rPr>
                  <w:rStyle w:val="Hyperlink"/>
                  <w:rFonts w:ascii="Verdana" w:hAnsi="Verdana"/>
                  <w:bCs/>
                  <w:i/>
                  <w:lang w:val="en-GB"/>
                </w:rPr>
                <w:t>O societate fără bariere pentru persoanele cu dizabilităţi 2016</w:t>
              </w:r>
              <w:r w:rsidRPr="00F43F87">
                <w:rPr>
                  <w:rStyle w:val="Hyperlink"/>
                  <w:rFonts w:ascii="Verdana" w:hAnsi="Verdana"/>
                  <w:bCs/>
                  <w:i/>
                  <w:color w:val="auto"/>
                  <w:lang w:val="en-GB"/>
                </w:rPr>
                <w:t>–2</w:t>
              </w:r>
              <w:r w:rsidRPr="00F43F87">
                <w:rPr>
                  <w:rStyle w:val="Hyperlink"/>
                  <w:rFonts w:ascii="Verdana" w:hAnsi="Verdana"/>
                  <w:bCs/>
                  <w:i/>
                  <w:lang w:val="en-GB"/>
                </w:rPr>
                <w:t>020</w:t>
              </w:r>
            </w:hyperlink>
            <w:r w:rsidRPr="00F43F87">
              <w:rPr>
                <w:rFonts w:ascii="Verdana" w:hAnsi="Verdana"/>
                <w:lang w:val="en-GB"/>
              </w:rPr>
              <w:t>)</w:t>
            </w:r>
          </w:p>
        </w:tc>
      </w:tr>
      <w:tr w:rsidR="00F13662" w:rsidRPr="00F43F87" w14:paraId="56D03CDB" w14:textId="77777777" w:rsidTr="005D16AF">
        <w:tc>
          <w:tcPr>
            <w:tcW w:w="0" w:type="auto"/>
            <w:vMerge/>
          </w:tcPr>
          <w:p w14:paraId="0167D952" w14:textId="77777777" w:rsidR="00F13662" w:rsidRPr="00F43F87" w:rsidRDefault="00F13662" w:rsidP="002C3ACE">
            <w:pPr>
              <w:rPr>
                <w:rFonts w:ascii="Verdana" w:hAnsi="Verdana"/>
                <w:lang w:val="en-GB" w:bidi="en-US"/>
              </w:rPr>
            </w:pPr>
          </w:p>
        </w:tc>
        <w:tc>
          <w:tcPr>
            <w:tcW w:w="0" w:type="auto"/>
          </w:tcPr>
          <w:p w14:paraId="0808DB43" w14:textId="0418738D" w:rsidR="00F13662" w:rsidRPr="00F43F87" w:rsidRDefault="00F13662" w:rsidP="002C3ACE">
            <w:pPr>
              <w:rPr>
                <w:rFonts w:ascii="Verdana" w:hAnsi="Verdana"/>
                <w:lang w:val="en-GB"/>
              </w:rPr>
            </w:pPr>
            <w:r w:rsidRPr="00F43F87">
              <w:rPr>
                <w:rFonts w:ascii="Verdana" w:hAnsi="Verdana"/>
                <w:lang w:val="en-GB"/>
              </w:rPr>
              <w:t>National Strategy on Social Inclusion and Poverty Reduction 2014–2020 (</w:t>
            </w:r>
            <w:hyperlink r:id="rId41" w:history="1">
              <w:r w:rsidRPr="00F43F87">
                <w:rPr>
                  <w:rStyle w:val="Hyperlink"/>
                  <w:rFonts w:ascii="Verdana" w:hAnsi="Verdana"/>
                  <w:i/>
                </w:rPr>
                <w:t>Strategia naţională privind incluziunea socială şi reducerea sărăciei 2014</w:t>
              </w:r>
              <w:r w:rsidRPr="00F43F87">
                <w:rPr>
                  <w:rStyle w:val="Hyperlink"/>
                  <w:rFonts w:ascii="Verdana" w:hAnsi="Verdana"/>
                  <w:i/>
                  <w:lang w:val="en-GB"/>
                </w:rPr>
                <w:t>–2020</w:t>
              </w:r>
            </w:hyperlink>
            <w:r w:rsidRPr="00F43F87">
              <w:rPr>
                <w:rFonts w:ascii="Verdana" w:hAnsi="Verdana"/>
                <w:bCs/>
                <w:lang w:val="en-GB"/>
              </w:rPr>
              <w:t>)</w:t>
            </w:r>
          </w:p>
        </w:tc>
      </w:tr>
      <w:tr w:rsidR="00F13662" w:rsidRPr="00F43F87" w14:paraId="6136BF7B" w14:textId="77777777" w:rsidTr="005D16AF">
        <w:tc>
          <w:tcPr>
            <w:tcW w:w="0" w:type="auto"/>
            <w:vMerge w:val="restart"/>
          </w:tcPr>
          <w:p w14:paraId="1928E012" w14:textId="77777777" w:rsidR="000206BE" w:rsidRDefault="000206BE" w:rsidP="002C3ACE">
            <w:pPr>
              <w:rPr>
                <w:rFonts w:ascii="Verdana" w:hAnsi="Verdana"/>
                <w:lang w:val="en-GB" w:bidi="en-US"/>
              </w:rPr>
            </w:pPr>
          </w:p>
          <w:p w14:paraId="7381F8C9" w14:textId="77777777" w:rsidR="000206BE" w:rsidRDefault="000206BE" w:rsidP="002C3ACE">
            <w:pPr>
              <w:rPr>
                <w:rFonts w:ascii="Verdana" w:hAnsi="Verdana"/>
                <w:lang w:val="en-GB" w:bidi="en-US"/>
              </w:rPr>
            </w:pPr>
          </w:p>
          <w:p w14:paraId="5C323C2A" w14:textId="77777777" w:rsidR="000206BE" w:rsidRDefault="000206BE" w:rsidP="002C3ACE">
            <w:pPr>
              <w:rPr>
                <w:rFonts w:ascii="Verdana" w:hAnsi="Verdana"/>
                <w:lang w:val="en-GB" w:bidi="en-US"/>
              </w:rPr>
            </w:pPr>
          </w:p>
          <w:p w14:paraId="0E3B0EEC" w14:textId="77777777" w:rsidR="000206BE" w:rsidRDefault="000206BE" w:rsidP="002C3ACE">
            <w:pPr>
              <w:rPr>
                <w:rFonts w:ascii="Verdana" w:hAnsi="Verdana"/>
                <w:lang w:val="en-GB" w:bidi="en-US"/>
              </w:rPr>
            </w:pPr>
          </w:p>
          <w:p w14:paraId="0AB82A49" w14:textId="77777777" w:rsidR="000206BE" w:rsidRDefault="000206BE" w:rsidP="002C3ACE">
            <w:pPr>
              <w:rPr>
                <w:rFonts w:ascii="Verdana" w:hAnsi="Verdana"/>
                <w:lang w:val="en-GB" w:bidi="en-US"/>
              </w:rPr>
            </w:pPr>
          </w:p>
          <w:p w14:paraId="22A0C25F" w14:textId="77777777" w:rsidR="00F13662" w:rsidRPr="00F43F87" w:rsidRDefault="00F13662" w:rsidP="002C3ACE">
            <w:pPr>
              <w:rPr>
                <w:rFonts w:ascii="Verdana" w:hAnsi="Verdana"/>
                <w:lang w:val="en-GB"/>
              </w:rPr>
            </w:pPr>
            <w:r w:rsidRPr="00F43F87">
              <w:rPr>
                <w:rFonts w:ascii="Verdana" w:hAnsi="Verdana"/>
                <w:lang w:val="en-GB" w:bidi="en-US"/>
              </w:rPr>
              <w:t>SK</w:t>
            </w:r>
          </w:p>
        </w:tc>
        <w:tc>
          <w:tcPr>
            <w:tcW w:w="0" w:type="auto"/>
          </w:tcPr>
          <w:p w14:paraId="14321AB1" w14:textId="3915A776" w:rsidR="00F13662" w:rsidRPr="00F43F87" w:rsidRDefault="00F13662" w:rsidP="002C3ACE">
            <w:pPr>
              <w:rPr>
                <w:rFonts w:ascii="Verdana" w:hAnsi="Verdana"/>
                <w:i/>
                <w:lang w:val="en-GB"/>
              </w:rPr>
            </w:pPr>
            <w:r w:rsidRPr="00F43F87">
              <w:rPr>
                <w:rFonts w:ascii="Verdana" w:hAnsi="Verdana"/>
                <w:lang w:val="en-GB"/>
              </w:rPr>
              <w:t>Strategy of Deinstitutionalisation of the System of Social Services and Foster Care in the Slovak Republic (</w:t>
            </w:r>
            <w:hyperlink r:id="rId42" w:history="1">
              <w:r w:rsidRPr="00F43F87">
                <w:rPr>
                  <w:rStyle w:val="Hyperlink"/>
                  <w:rFonts w:ascii="Verdana" w:hAnsi="Verdana"/>
                  <w:i/>
                  <w:lang w:val="en-GB"/>
                </w:rPr>
                <w:t>Stratégia deinštitucionalizácie systému sociálnych služieb a náhradnej starostlivosti v Slovenskej republike</w:t>
              </w:r>
            </w:hyperlink>
            <w:r w:rsidRPr="00F43F87">
              <w:rPr>
                <w:rFonts w:ascii="Verdana" w:hAnsi="Verdana"/>
              </w:rPr>
              <w:t>)</w:t>
            </w:r>
          </w:p>
        </w:tc>
      </w:tr>
      <w:tr w:rsidR="00F13662" w:rsidRPr="00F43F87" w14:paraId="3EDD73D1" w14:textId="77777777" w:rsidTr="005D16AF">
        <w:tc>
          <w:tcPr>
            <w:tcW w:w="0" w:type="auto"/>
            <w:vMerge/>
          </w:tcPr>
          <w:p w14:paraId="0C5CC0F5" w14:textId="77777777" w:rsidR="00F13662" w:rsidRPr="00F43F87" w:rsidRDefault="00F13662" w:rsidP="002C3ACE">
            <w:pPr>
              <w:rPr>
                <w:rFonts w:ascii="Verdana" w:hAnsi="Verdana"/>
                <w:lang w:val="en-GB" w:bidi="en-US"/>
              </w:rPr>
            </w:pPr>
          </w:p>
        </w:tc>
        <w:tc>
          <w:tcPr>
            <w:tcW w:w="0" w:type="auto"/>
          </w:tcPr>
          <w:p w14:paraId="5D63205D" w14:textId="45299952" w:rsidR="00F13662" w:rsidRPr="00F43F87" w:rsidRDefault="00F13662" w:rsidP="002C3ACE">
            <w:pPr>
              <w:rPr>
                <w:rFonts w:ascii="Verdana" w:hAnsi="Verdana"/>
                <w:lang w:val="en-GB"/>
              </w:rPr>
            </w:pPr>
            <w:r w:rsidRPr="00F43F87">
              <w:rPr>
                <w:rFonts w:ascii="Verdana" w:hAnsi="Verdana"/>
                <w:lang w:val="en-GB"/>
              </w:rPr>
              <w:t>National Priorities for Development of Social Services for the Period 2015–2020 (</w:t>
            </w:r>
            <w:hyperlink r:id="rId43" w:history="1">
              <w:r w:rsidRPr="00F43F87">
                <w:rPr>
                  <w:rStyle w:val="Hyperlink"/>
                  <w:rFonts w:ascii="Verdana" w:hAnsi="Verdana"/>
                  <w:i/>
                  <w:lang w:val="en-GB"/>
                </w:rPr>
                <w:t>Národné priority rozvoja sociálnych služieb na roky 2015– 2020</w:t>
              </w:r>
            </w:hyperlink>
            <w:r w:rsidRPr="00F43F87">
              <w:rPr>
                <w:rFonts w:ascii="Verdana" w:hAnsi="Verdana"/>
              </w:rPr>
              <w:t>)</w:t>
            </w:r>
          </w:p>
        </w:tc>
      </w:tr>
      <w:tr w:rsidR="00F13662" w:rsidRPr="00F43F87" w14:paraId="5A6FE74D" w14:textId="77777777" w:rsidTr="005D16AF">
        <w:tc>
          <w:tcPr>
            <w:tcW w:w="0" w:type="auto"/>
            <w:vMerge/>
          </w:tcPr>
          <w:p w14:paraId="50B0DF35" w14:textId="77777777" w:rsidR="00F13662" w:rsidRPr="00F43F87" w:rsidRDefault="00F13662" w:rsidP="002C3ACE">
            <w:pPr>
              <w:rPr>
                <w:rFonts w:ascii="Verdana" w:hAnsi="Verdana"/>
                <w:lang w:val="en-GB" w:bidi="en-US"/>
              </w:rPr>
            </w:pPr>
          </w:p>
        </w:tc>
        <w:tc>
          <w:tcPr>
            <w:tcW w:w="0" w:type="auto"/>
          </w:tcPr>
          <w:p w14:paraId="2C6FDCA1" w14:textId="5649C94B" w:rsidR="00F13662" w:rsidRPr="00F43F87" w:rsidRDefault="00F13662" w:rsidP="002C3ACE">
            <w:pPr>
              <w:rPr>
                <w:rFonts w:ascii="Verdana" w:hAnsi="Verdana"/>
                <w:lang w:val="en-GB"/>
              </w:rPr>
            </w:pPr>
            <w:r w:rsidRPr="00F43F87">
              <w:rPr>
                <w:rFonts w:ascii="Verdana" w:hAnsi="Verdana"/>
                <w:lang w:val="en-GB"/>
              </w:rPr>
              <w:t>National Programme for the Development of Living Conditions of Persons with Disabilities for the Years 2014–2020 (</w:t>
            </w:r>
            <w:hyperlink r:id="rId44" w:history="1">
              <w:r w:rsidRPr="00F43F87">
                <w:rPr>
                  <w:rStyle w:val="Hyperlink"/>
                  <w:rFonts w:ascii="Verdana" w:hAnsi="Verdana"/>
                  <w:i/>
                </w:rPr>
                <w:t>Národný program rozvoja životných podmienok osôb so zdravotným postihnutím na roky 2014–2020</w:t>
              </w:r>
            </w:hyperlink>
            <w:r w:rsidRPr="00F43F87">
              <w:rPr>
                <w:rFonts w:ascii="Verdana" w:hAnsi="Verdana"/>
                <w:lang w:val="en-GB"/>
              </w:rPr>
              <w:t>)</w:t>
            </w:r>
          </w:p>
        </w:tc>
      </w:tr>
    </w:tbl>
    <w:p w14:paraId="7390CCE3" w14:textId="667AE440" w:rsidR="00F13662" w:rsidRDefault="00F13662" w:rsidP="002C3ACE">
      <w:pPr>
        <w:rPr>
          <w:rFonts w:ascii="Verdana" w:hAnsi="Verdana"/>
          <w:i/>
          <w:sz w:val="20"/>
          <w:szCs w:val="20"/>
        </w:rPr>
      </w:pPr>
      <w:r w:rsidRPr="003715D4">
        <w:rPr>
          <w:rFonts w:ascii="Verdana" w:hAnsi="Verdana"/>
          <w:i/>
          <w:sz w:val="20"/>
          <w:szCs w:val="20"/>
        </w:rPr>
        <w:t>Source: FRA,2017</w:t>
      </w:r>
    </w:p>
    <w:p w14:paraId="6DC88A13" w14:textId="77777777" w:rsidR="004D7E8E" w:rsidRPr="003715D4" w:rsidRDefault="004D7E8E" w:rsidP="002C3ACE">
      <w:pPr>
        <w:rPr>
          <w:rFonts w:ascii="Verdana" w:hAnsi="Verdana"/>
          <w:i/>
          <w:sz w:val="20"/>
          <w:szCs w:val="20"/>
        </w:rPr>
      </w:pPr>
    </w:p>
    <w:p w14:paraId="1E1A5539" w14:textId="0CE1CD79" w:rsidR="00F13662" w:rsidRPr="00F43F87" w:rsidRDefault="00F13662" w:rsidP="002C3ACE">
      <w:pPr>
        <w:rPr>
          <w:rFonts w:ascii="Verdana" w:hAnsi="Verdana"/>
        </w:rPr>
      </w:pPr>
      <w:r w:rsidRPr="00F43F87">
        <w:rPr>
          <w:rFonts w:ascii="Verdana" w:hAnsi="Verdana"/>
        </w:rPr>
        <w:t xml:space="preserve">Setting clear targets and a timeframe for their achievement can help make strategies more effective. The strategies set out concrete targets and a timeframe for meeting them in each of the nine Member States with a dedicated deinstitutionalisation strategy and five of the 11 Member States with a disability strategy that includes deinstitutionalisation measures. Some of these targets are numerical, specifying numbers of persons to deinstitutionalise or a date for completing deinstitutionalisation. Examples include </w:t>
      </w:r>
      <w:r w:rsidRPr="00F43F87">
        <w:rPr>
          <w:rFonts w:ascii="Verdana" w:hAnsi="Verdana"/>
          <w:b/>
        </w:rPr>
        <w:t>Bulgaria</w:t>
      </w:r>
      <w:r w:rsidRPr="00F43F87">
        <w:rPr>
          <w:rFonts w:ascii="Verdana" w:hAnsi="Verdana"/>
        </w:rPr>
        <w:t>,</w:t>
      </w:r>
      <w:r w:rsidRPr="00F43F87">
        <w:rPr>
          <w:rFonts w:ascii="Verdana" w:hAnsi="Verdana"/>
          <w:vertAlign w:val="superscript"/>
        </w:rPr>
        <w:endnoteReference w:id="46"/>
      </w:r>
      <w:r w:rsidRPr="00F43F87">
        <w:rPr>
          <w:rFonts w:ascii="Verdana" w:hAnsi="Verdana"/>
        </w:rPr>
        <w:t xml:space="preserve"> with a target concerning deinstitutionalisation of children, </w:t>
      </w:r>
      <w:r w:rsidRPr="00F43F87">
        <w:rPr>
          <w:rFonts w:ascii="Verdana" w:hAnsi="Verdana"/>
          <w:b/>
        </w:rPr>
        <w:t>Estonia</w:t>
      </w:r>
      <w:r w:rsidRPr="00F43F87">
        <w:rPr>
          <w:rFonts w:ascii="Verdana" w:hAnsi="Verdana"/>
          <w:vertAlign w:val="superscript"/>
        </w:rPr>
        <w:endnoteReference w:id="47"/>
      </w:r>
      <w:r w:rsidRPr="00F43F87">
        <w:rPr>
          <w:rFonts w:ascii="Verdana" w:hAnsi="Verdana"/>
        </w:rPr>
        <w:t xml:space="preserve"> and </w:t>
      </w:r>
      <w:r w:rsidRPr="00F43F87">
        <w:rPr>
          <w:rFonts w:ascii="Verdana" w:hAnsi="Verdana"/>
          <w:b/>
        </w:rPr>
        <w:t>Finland</w:t>
      </w:r>
      <w:r w:rsidRPr="00F43F87">
        <w:rPr>
          <w:rFonts w:ascii="Verdana" w:hAnsi="Verdana"/>
        </w:rPr>
        <w:t>.</w:t>
      </w:r>
      <w:r w:rsidRPr="00F43F87">
        <w:rPr>
          <w:rFonts w:ascii="Verdana" w:hAnsi="Verdana"/>
          <w:vertAlign w:val="superscript"/>
        </w:rPr>
        <w:endnoteReference w:id="48"/>
      </w:r>
      <w:r w:rsidRPr="00F43F87">
        <w:rPr>
          <w:rFonts w:ascii="Verdana" w:hAnsi="Verdana"/>
          <w:b/>
        </w:rPr>
        <w:t xml:space="preserve"> </w:t>
      </w:r>
      <w:r w:rsidRPr="00F43F87">
        <w:rPr>
          <w:rFonts w:ascii="Verdana" w:hAnsi="Verdana"/>
        </w:rPr>
        <w:t xml:space="preserve">Other targets focus on particular milestones, as in </w:t>
      </w:r>
      <w:r w:rsidRPr="00F43F87">
        <w:rPr>
          <w:rFonts w:ascii="Verdana" w:hAnsi="Verdana"/>
          <w:b/>
        </w:rPr>
        <w:t>Slovakia</w:t>
      </w:r>
      <w:r w:rsidRPr="00F43F87">
        <w:rPr>
          <w:rFonts w:ascii="Verdana" w:hAnsi="Verdana"/>
        </w:rPr>
        <w:t>.</w:t>
      </w:r>
      <w:r w:rsidRPr="00F43F87">
        <w:rPr>
          <w:rFonts w:ascii="Verdana" w:hAnsi="Verdana"/>
          <w:vertAlign w:val="superscript"/>
        </w:rPr>
        <w:endnoteReference w:id="49"/>
      </w:r>
    </w:p>
    <w:p w14:paraId="10E5BD3E" w14:textId="491E142F" w:rsidR="00D3783A" w:rsidRDefault="00F13662" w:rsidP="002C3ACE">
      <w:pPr>
        <w:rPr>
          <w:rFonts w:ascii="Verdana" w:hAnsi="Verdana"/>
        </w:rPr>
      </w:pPr>
      <w:r w:rsidRPr="00F43F87">
        <w:rPr>
          <w:rFonts w:ascii="Verdana" w:hAnsi="Verdana"/>
        </w:rPr>
        <w:t xml:space="preserve">Another indication of the likely effectiveness of a strategy is if it comes with a monitoring mechanism. FRA’s analysis indicates that most Member States with strategies on or including deinstitutionalisation measures have set up mechanisms to monitor their implementation. These mechanisms include or engage with the frameworks set up to monitor implementation of the </w:t>
      </w:r>
      <w:r w:rsidR="0031362B" w:rsidRPr="00F43F87">
        <w:rPr>
          <w:rFonts w:ascii="Verdana" w:hAnsi="Verdana"/>
        </w:rPr>
        <w:t>CRPD </w:t>
      </w:r>
      <w:r w:rsidRPr="00F43F87">
        <w:rPr>
          <w:rFonts w:ascii="Verdana" w:hAnsi="Verdana"/>
        </w:rPr>
        <w:t xml:space="preserve">under Article 33 (2) of the convention in several Member States, including </w:t>
      </w:r>
      <w:r w:rsidRPr="00F43F87">
        <w:rPr>
          <w:rFonts w:ascii="Verdana" w:hAnsi="Verdana"/>
          <w:b/>
        </w:rPr>
        <w:lastRenderedPageBreak/>
        <w:t>Austria</w:t>
      </w:r>
      <w:r w:rsidRPr="00F43F87">
        <w:rPr>
          <w:rFonts w:ascii="Verdana" w:hAnsi="Verdana"/>
        </w:rPr>
        <w:t>,</w:t>
      </w:r>
      <w:r w:rsidRPr="00F43F87">
        <w:rPr>
          <w:rFonts w:ascii="Verdana" w:hAnsi="Verdana"/>
          <w:b/>
        </w:rPr>
        <w:t xml:space="preserve"> Estonia </w:t>
      </w:r>
      <w:r w:rsidRPr="00F43F87">
        <w:rPr>
          <w:rFonts w:ascii="Verdana" w:hAnsi="Verdana"/>
        </w:rPr>
        <w:t>and</w:t>
      </w:r>
      <w:r w:rsidRPr="00F43F87">
        <w:rPr>
          <w:rFonts w:ascii="Verdana" w:hAnsi="Verdana"/>
          <w:b/>
        </w:rPr>
        <w:t xml:space="preserve"> Germany</w:t>
      </w:r>
      <w:r w:rsidRPr="00F43F87">
        <w:rPr>
          <w:rFonts w:ascii="Verdana" w:hAnsi="Verdana"/>
        </w:rPr>
        <w:t xml:space="preserve">. However, the relevant strategies in </w:t>
      </w:r>
      <w:r w:rsidRPr="00F43F87">
        <w:rPr>
          <w:rFonts w:ascii="Verdana" w:hAnsi="Verdana"/>
          <w:b/>
        </w:rPr>
        <w:t>Cyprus</w:t>
      </w:r>
      <w:r w:rsidRPr="00F43F87">
        <w:rPr>
          <w:rFonts w:ascii="Verdana" w:hAnsi="Verdana"/>
        </w:rPr>
        <w:t xml:space="preserve">, </w:t>
      </w:r>
      <w:r w:rsidRPr="00F43F87">
        <w:rPr>
          <w:rFonts w:ascii="Verdana" w:hAnsi="Verdana"/>
          <w:b/>
        </w:rPr>
        <w:t>Greece</w:t>
      </w:r>
      <w:r w:rsidRPr="00F43F87">
        <w:rPr>
          <w:rFonts w:ascii="Verdana" w:hAnsi="Verdana"/>
        </w:rPr>
        <w:t>,</w:t>
      </w:r>
      <w:r w:rsidRPr="00F43F87">
        <w:rPr>
          <w:rFonts w:ascii="Verdana" w:hAnsi="Verdana"/>
          <w:b/>
        </w:rPr>
        <w:t xml:space="preserve"> Italy</w:t>
      </w:r>
      <w:r w:rsidRPr="00F43F87">
        <w:rPr>
          <w:rFonts w:ascii="Verdana" w:hAnsi="Verdana"/>
        </w:rPr>
        <w:t>,</w:t>
      </w:r>
      <w:r w:rsidRPr="00F43F87">
        <w:rPr>
          <w:rFonts w:ascii="Verdana" w:hAnsi="Verdana"/>
          <w:b/>
        </w:rPr>
        <w:t xml:space="preserve"> Malta</w:t>
      </w:r>
      <w:r w:rsidRPr="00F43F87">
        <w:rPr>
          <w:rFonts w:ascii="Verdana" w:hAnsi="Verdana"/>
        </w:rPr>
        <w:t xml:space="preserve"> and </w:t>
      </w:r>
      <w:r w:rsidRPr="00F43F87">
        <w:rPr>
          <w:rFonts w:ascii="Verdana" w:hAnsi="Verdana"/>
          <w:b/>
        </w:rPr>
        <w:t>Romania</w:t>
      </w:r>
      <w:r w:rsidRPr="00F43F87">
        <w:rPr>
          <w:rFonts w:ascii="Verdana" w:hAnsi="Verdana"/>
        </w:rPr>
        <w:t xml:space="preserve"> do not include provisions for any monitoring mechanisms.</w:t>
      </w:r>
    </w:p>
    <w:p w14:paraId="1775F023" w14:textId="77777777" w:rsidR="00B37FEC" w:rsidRPr="00F43F87" w:rsidRDefault="00B37FEC" w:rsidP="002C3ACE">
      <w:pPr>
        <w:rPr>
          <w:rFonts w:ascii="Verdana" w:hAnsi="Verdana"/>
        </w:rPr>
      </w:pPr>
    </w:p>
    <w:p w14:paraId="1ED4BD4F" w14:textId="750E6618" w:rsidR="00F13662" w:rsidRPr="008E32E6" w:rsidRDefault="00F13662" w:rsidP="00756EB2">
      <w:pPr>
        <w:rPr>
          <w:rFonts w:ascii="Verdana" w:hAnsi="Verdana"/>
          <w:i/>
          <w:color w:val="00565B"/>
        </w:rPr>
      </w:pPr>
      <w:r w:rsidRPr="008E32E6">
        <w:rPr>
          <w:rFonts w:ascii="Verdana" w:hAnsi="Verdana"/>
          <w:i/>
          <w:color w:val="00565B"/>
        </w:rPr>
        <w:t>“States parties should […] establish mechanisms to monitor […] de-institutionalization strategies and the implementation of living independently within the community.”</w:t>
      </w:r>
    </w:p>
    <w:p w14:paraId="3BBEAF74" w14:textId="75D660DF" w:rsidR="00F13662" w:rsidRPr="00D3783A" w:rsidRDefault="0031362B" w:rsidP="002C3ACE">
      <w:pPr>
        <w:rPr>
          <w:rFonts w:ascii="Verdana" w:hAnsi="Verdana"/>
          <w:i/>
          <w:sz w:val="18"/>
          <w:szCs w:val="18"/>
        </w:rPr>
      </w:pPr>
      <w:r w:rsidRPr="00D3783A">
        <w:rPr>
          <w:rFonts w:ascii="Verdana" w:hAnsi="Verdana"/>
          <w:i/>
          <w:sz w:val="18"/>
          <w:szCs w:val="18"/>
        </w:rPr>
        <w:t>CRPD </w:t>
      </w:r>
      <w:r w:rsidR="00F13662" w:rsidRPr="00D3783A">
        <w:rPr>
          <w:rFonts w:ascii="Verdana" w:hAnsi="Verdana"/>
          <w:i/>
          <w:sz w:val="18"/>
          <w:szCs w:val="18"/>
        </w:rPr>
        <w:t>Committee (2017), </w:t>
      </w:r>
      <w:hyperlink r:id="rId45" w:history="1">
        <w:r w:rsidR="00F13662" w:rsidRPr="00D3783A">
          <w:rPr>
            <w:rStyle w:val="Hyperlink"/>
            <w:rFonts w:ascii="Verdana" w:hAnsi="Verdana"/>
            <w:i/>
            <w:sz w:val="18"/>
            <w:szCs w:val="18"/>
          </w:rPr>
          <w:t>General Comment No. 5 – Article 19: Living independently and being included in the community</w:t>
        </w:r>
      </w:hyperlink>
      <w:r w:rsidR="00F13662" w:rsidRPr="00D3783A">
        <w:rPr>
          <w:rFonts w:ascii="Verdana" w:hAnsi="Verdana"/>
          <w:i/>
          <w:sz w:val="18"/>
          <w:szCs w:val="18"/>
        </w:rPr>
        <w:t>, CRPD/C/18/1, 29 August 2017, para. 98 (m)</w:t>
      </w:r>
    </w:p>
    <w:p w14:paraId="6199A3AD" w14:textId="77777777" w:rsidR="00D3783A" w:rsidRPr="008E32E6" w:rsidRDefault="00D3783A" w:rsidP="002C3ACE">
      <w:pPr>
        <w:rPr>
          <w:rFonts w:ascii="Verdana" w:hAnsi="Verdana"/>
          <w:i/>
          <w:sz w:val="20"/>
          <w:szCs w:val="20"/>
        </w:rPr>
      </w:pPr>
    </w:p>
    <w:p w14:paraId="67A2FBFC" w14:textId="468CEB2E" w:rsidR="00F13662" w:rsidRPr="00F43F87" w:rsidRDefault="00F13662" w:rsidP="002C3ACE">
      <w:pPr>
        <w:rPr>
          <w:rFonts w:ascii="Verdana" w:hAnsi="Verdana"/>
        </w:rPr>
      </w:pPr>
      <w:r w:rsidRPr="00F43F87">
        <w:rPr>
          <w:rFonts w:ascii="Verdana" w:hAnsi="Verdana"/>
        </w:rPr>
        <w:t xml:space="preserve">Where monitoring mechanisms exist, most involve disabled persons’ organisations (DPOs). This is a key requirement of Article 4 (3) of the CRPD, which sets out the general obligation for parties to the </w:t>
      </w:r>
      <w:r w:rsidR="0031362B" w:rsidRPr="00F43F87">
        <w:rPr>
          <w:rFonts w:ascii="Verdana" w:hAnsi="Verdana"/>
        </w:rPr>
        <w:t>CRPD </w:t>
      </w:r>
      <w:r w:rsidRPr="00F43F87">
        <w:rPr>
          <w:rFonts w:ascii="Verdana" w:hAnsi="Verdana"/>
        </w:rPr>
        <w:t xml:space="preserve">to “closely consult with and actively involve persons with disabilities”, through their representative organisations, in developing and implementing legislation and policies to implement the convention. For example, to monitor the implementation of the </w:t>
      </w:r>
      <w:r w:rsidRPr="00F43F87">
        <w:rPr>
          <w:rFonts w:ascii="Verdana" w:hAnsi="Verdana"/>
          <w:b/>
        </w:rPr>
        <w:t xml:space="preserve">Latvian </w:t>
      </w:r>
      <w:r w:rsidRPr="00F43F87">
        <w:rPr>
          <w:rFonts w:ascii="Verdana" w:hAnsi="Verdana"/>
        </w:rPr>
        <w:t>Guidelines on the development of social services 2014–2020, the Ministry of Welfare set up a Social Services Development Council. This includes representatives of relevant state bodies, providers of services, municipalities, DPOs and experts.</w:t>
      </w:r>
      <w:r w:rsidRPr="00F43F87">
        <w:rPr>
          <w:rFonts w:ascii="Verdana" w:hAnsi="Verdana"/>
          <w:vertAlign w:val="superscript"/>
        </w:rPr>
        <w:endnoteReference w:id="50"/>
      </w:r>
      <w:r w:rsidRPr="00F43F87">
        <w:rPr>
          <w:rFonts w:ascii="Verdana" w:hAnsi="Verdana"/>
        </w:rPr>
        <w:t xml:space="preserve"> Where DPOs are not included, questions can arise concerning the independence and objectivity of the monitoring.</w:t>
      </w:r>
    </w:p>
    <w:p w14:paraId="22A7D243" w14:textId="41A9D6CD" w:rsidR="00F13662" w:rsidRPr="00F43F87" w:rsidRDefault="00F13662" w:rsidP="002C3ACE">
      <w:pPr>
        <w:rPr>
          <w:rFonts w:ascii="Verdana" w:hAnsi="Verdana"/>
          <w:bCs/>
        </w:rPr>
      </w:pPr>
      <w:r w:rsidRPr="00F43F87">
        <w:rPr>
          <w:rFonts w:ascii="Verdana" w:hAnsi="Verdana"/>
        </w:rPr>
        <w:t xml:space="preserve">Monitoring mechanisms’ activities take different forms. Some Member States, including </w:t>
      </w:r>
      <w:r w:rsidRPr="00F43F87">
        <w:rPr>
          <w:rFonts w:ascii="Verdana" w:hAnsi="Verdana"/>
          <w:b/>
        </w:rPr>
        <w:t>Bulgaria</w:t>
      </w:r>
      <w:r w:rsidRPr="00F43F87">
        <w:rPr>
          <w:rFonts w:ascii="Verdana" w:hAnsi="Verdana"/>
        </w:rPr>
        <w:t>,</w:t>
      </w:r>
      <w:r w:rsidRPr="00F43F87">
        <w:rPr>
          <w:rFonts w:ascii="Verdana" w:hAnsi="Verdana"/>
          <w:vertAlign w:val="superscript"/>
        </w:rPr>
        <w:endnoteReference w:id="51"/>
      </w:r>
      <w:r w:rsidRPr="00F43F87">
        <w:rPr>
          <w:rFonts w:ascii="Verdana" w:hAnsi="Verdana"/>
          <w:b/>
        </w:rPr>
        <w:t xml:space="preserve"> </w:t>
      </w:r>
      <w:r w:rsidRPr="00F43F87">
        <w:rPr>
          <w:rFonts w:ascii="Verdana" w:hAnsi="Verdana"/>
        </w:rPr>
        <w:t xml:space="preserve">the </w:t>
      </w:r>
      <w:r w:rsidRPr="00F43F87">
        <w:rPr>
          <w:rFonts w:ascii="Verdana" w:hAnsi="Verdana"/>
          <w:b/>
        </w:rPr>
        <w:t>Czech Republic</w:t>
      </w:r>
      <w:r w:rsidRPr="00F43F87">
        <w:rPr>
          <w:rFonts w:ascii="Verdana" w:hAnsi="Verdana"/>
          <w:vertAlign w:val="superscript"/>
        </w:rPr>
        <w:endnoteReference w:id="52"/>
      </w:r>
      <w:r w:rsidRPr="00F43F87">
        <w:rPr>
          <w:rFonts w:ascii="Verdana" w:hAnsi="Verdana"/>
          <w:b/>
        </w:rPr>
        <w:t xml:space="preserve"> </w:t>
      </w:r>
      <w:r w:rsidRPr="00F43F87">
        <w:rPr>
          <w:rFonts w:ascii="Verdana" w:hAnsi="Verdana"/>
        </w:rPr>
        <w:t>and</w:t>
      </w:r>
      <w:r w:rsidRPr="00F43F87">
        <w:rPr>
          <w:rFonts w:ascii="Verdana" w:hAnsi="Verdana"/>
          <w:b/>
        </w:rPr>
        <w:t xml:space="preserve"> Slovakia</w:t>
      </w:r>
      <w:r w:rsidRPr="00F43F87">
        <w:rPr>
          <w:rFonts w:ascii="Verdana" w:hAnsi="Verdana"/>
        </w:rPr>
        <w:t>,</w:t>
      </w:r>
      <w:r w:rsidRPr="00F43F87">
        <w:rPr>
          <w:rFonts w:ascii="Verdana" w:hAnsi="Verdana"/>
          <w:b/>
        </w:rPr>
        <w:t xml:space="preserve"> </w:t>
      </w:r>
      <w:r w:rsidRPr="00F43F87">
        <w:rPr>
          <w:rFonts w:ascii="Verdana" w:hAnsi="Verdana"/>
        </w:rPr>
        <w:t xml:space="preserve">prepare regular – typically annual – progress reports. In others, including </w:t>
      </w:r>
      <w:r w:rsidRPr="00F43F87">
        <w:rPr>
          <w:rFonts w:ascii="Verdana" w:hAnsi="Verdana"/>
          <w:b/>
        </w:rPr>
        <w:t>Austria</w:t>
      </w:r>
      <w:r w:rsidRPr="00F43F87">
        <w:rPr>
          <w:rFonts w:ascii="Verdana" w:hAnsi="Verdana"/>
          <w:bCs/>
        </w:rPr>
        <w:t xml:space="preserve"> </w:t>
      </w:r>
      <w:r w:rsidRPr="00F43F87">
        <w:rPr>
          <w:rFonts w:ascii="Verdana" w:hAnsi="Verdana"/>
        </w:rPr>
        <w:t>and</w:t>
      </w:r>
      <w:r w:rsidRPr="00F43F87">
        <w:rPr>
          <w:rFonts w:ascii="Verdana" w:hAnsi="Verdana"/>
          <w:b/>
        </w:rPr>
        <w:t xml:space="preserve"> Finland</w:t>
      </w:r>
      <w:r w:rsidRPr="00F43F87">
        <w:rPr>
          <w:rFonts w:ascii="Verdana" w:hAnsi="Verdana"/>
        </w:rPr>
        <w:t>,</w:t>
      </w:r>
      <w:r w:rsidRPr="00F43F87">
        <w:rPr>
          <w:rFonts w:ascii="Verdana" w:hAnsi="Verdana"/>
          <w:vertAlign w:val="superscript"/>
        </w:rPr>
        <w:endnoteReference w:id="53"/>
      </w:r>
      <w:r w:rsidRPr="00F43F87">
        <w:rPr>
          <w:rFonts w:ascii="Verdana" w:hAnsi="Verdana"/>
          <w:b/>
        </w:rPr>
        <w:t xml:space="preserve"> </w:t>
      </w:r>
      <w:r w:rsidRPr="00F43F87">
        <w:rPr>
          <w:rFonts w:ascii="Verdana" w:hAnsi="Verdana"/>
        </w:rPr>
        <w:t xml:space="preserve">interim reports track progress in implementing measures. The mid-term report on implementation of the </w:t>
      </w:r>
      <w:r w:rsidRPr="00F43F87">
        <w:rPr>
          <w:rFonts w:ascii="Verdana" w:hAnsi="Verdana"/>
          <w:b/>
        </w:rPr>
        <w:t>Austrian</w:t>
      </w:r>
      <w:r w:rsidRPr="00F43F87">
        <w:rPr>
          <w:rFonts w:ascii="Verdana" w:hAnsi="Verdana"/>
        </w:rPr>
        <w:t xml:space="preserve"> national disability strategy included input from civil society. It indicates that </w:t>
      </w:r>
      <w:r w:rsidRPr="00F43F87">
        <w:rPr>
          <w:rFonts w:ascii="Verdana" w:hAnsi="Verdana"/>
          <w:bCs/>
        </w:rPr>
        <w:t>58 % of 250 measures defined in the action plan were completed or implemented by the end of 2015; another 34 % are partly implemented or in preparation.</w:t>
      </w:r>
      <w:r w:rsidRPr="00F43F87">
        <w:rPr>
          <w:rFonts w:ascii="Verdana" w:hAnsi="Verdana"/>
          <w:bCs/>
          <w:vertAlign w:val="superscript"/>
        </w:rPr>
        <w:endnoteReference w:id="54"/>
      </w:r>
    </w:p>
    <w:p w14:paraId="2D67C7AE" w14:textId="3FF9B62B" w:rsidR="00F13662" w:rsidRPr="00F43F87" w:rsidRDefault="00F13662" w:rsidP="002C3ACE">
      <w:pPr>
        <w:rPr>
          <w:rFonts w:ascii="Verdana" w:hAnsi="Verdana"/>
        </w:rPr>
      </w:pPr>
      <w:r w:rsidRPr="00F43F87">
        <w:rPr>
          <w:rFonts w:ascii="Verdana" w:hAnsi="Verdana"/>
        </w:rPr>
        <w:t xml:space="preserve">Monitoring reports also provide an opportunity for critical reflections on what can be improved in the future. The 2016 review of the </w:t>
      </w:r>
      <w:r w:rsidRPr="00F43F87">
        <w:rPr>
          <w:rFonts w:ascii="Verdana" w:hAnsi="Verdana"/>
          <w:b/>
        </w:rPr>
        <w:t xml:space="preserve">Slovak </w:t>
      </w:r>
      <w:r w:rsidRPr="00F43F87">
        <w:rPr>
          <w:rFonts w:ascii="Verdana" w:hAnsi="Verdana"/>
        </w:rPr>
        <w:t>National Programme for the Development of Living Conditions for Citizens with Disabilities proposes amendments for the remaining period of the strategy. These include amendments with respect to support for community-based services and realisation of deinstitutionalisation.</w:t>
      </w:r>
      <w:r w:rsidRPr="00F43F87">
        <w:rPr>
          <w:rFonts w:ascii="Verdana" w:hAnsi="Verdana"/>
          <w:vertAlign w:val="superscript"/>
        </w:rPr>
        <w:endnoteReference w:id="55"/>
      </w:r>
      <w:r w:rsidRPr="00F43F87">
        <w:rPr>
          <w:rFonts w:ascii="Verdana" w:hAnsi="Verdana"/>
        </w:rPr>
        <w:t xml:space="preserve"> The review of the </w:t>
      </w:r>
      <w:r w:rsidRPr="00F43F87">
        <w:rPr>
          <w:rFonts w:ascii="Verdana" w:hAnsi="Verdana"/>
          <w:b/>
        </w:rPr>
        <w:t xml:space="preserve">Finnish </w:t>
      </w:r>
      <w:r w:rsidRPr="00F43F87">
        <w:rPr>
          <w:rFonts w:ascii="Verdana" w:hAnsi="Verdana"/>
        </w:rPr>
        <w:t>Housing Programme for Persons with Intellectual and Developmental Disabilities 2010–2015 collected good practices and identified a number of measures for improvement in 2016–2020.</w:t>
      </w:r>
      <w:r w:rsidRPr="00F43F87">
        <w:rPr>
          <w:rFonts w:ascii="Verdana" w:hAnsi="Verdana"/>
          <w:vertAlign w:val="superscript"/>
        </w:rPr>
        <w:endnoteReference w:id="56"/>
      </w:r>
    </w:p>
    <w:p w14:paraId="1E17D552" w14:textId="12568B90" w:rsidR="00D3783A" w:rsidRDefault="00F13662" w:rsidP="002C3ACE">
      <w:pPr>
        <w:rPr>
          <w:rFonts w:ascii="Verdana" w:hAnsi="Verdana"/>
        </w:rPr>
      </w:pPr>
      <w:r w:rsidRPr="00F43F87">
        <w:rPr>
          <w:rFonts w:ascii="Verdana" w:hAnsi="Verdana"/>
        </w:rPr>
        <w:t xml:space="preserve">Express moratoriums on building new long-stay residential institutions and allowing new admissions to existing institutions are a second signal of meaningful commitment to achieving deinstitutionalisation and independent living. Both the </w:t>
      </w:r>
      <w:r w:rsidR="0031362B" w:rsidRPr="00F43F87">
        <w:rPr>
          <w:rFonts w:ascii="Verdana" w:hAnsi="Verdana"/>
        </w:rPr>
        <w:t>CRPD </w:t>
      </w:r>
      <w:r w:rsidRPr="00F43F87">
        <w:rPr>
          <w:rFonts w:ascii="Verdana" w:hAnsi="Verdana"/>
        </w:rPr>
        <w:t xml:space="preserve">Committee and the </w:t>
      </w:r>
      <w:r w:rsidR="0031362B" w:rsidRPr="00F43F87">
        <w:rPr>
          <w:rFonts w:ascii="Verdana" w:hAnsi="Verdana"/>
        </w:rPr>
        <w:t>UN </w:t>
      </w:r>
      <w:r w:rsidRPr="00F43F87">
        <w:rPr>
          <w:rFonts w:ascii="Verdana" w:hAnsi="Verdana"/>
        </w:rPr>
        <w:t>Special Rapporteur on the rights of persons with disabilities called for such moratoriums.</w:t>
      </w:r>
      <w:r w:rsidRPr="00F43F87">
        <w:rPr>
          <w:rStyle w:val="EndnoteReference"/>
          <w:rFonts w:ascii="Verdana" w:hAnsi="Verdana"/>
        </w:rPr>
        <w:endnoteReference w:id="57"/>
      </w:r>
      <w:r w:rsidRPr="00F43F87">
        <w:rPr>
          <w:rFonts w:ascii="Verdana" w:hAnsi="Verdana"/>
        </w:rPr>
        <w:t xml:space="preserve"> These pledges reduce the need for later deinstitutionalisation, by preventing institutionalisation in the first </w:t>
      </w:r>
      <w:r w:rsidRPr="00F43F87">
        <w:rPr>
          <w:rFonts w:ascii="Verdana" w:hAnsi="Verdana"/>
        </w:rPr>
        <w:lastRenderedPageBreak/>
        <w:t>place. As part of its indicators on Article 19 of the CRPD, FRA looked at both types of commitments.</w:t>
      </w:r>
    </w:p>
    <w:p w14:paraId="1D677F06" w14:textId="77777777" w:rsidR="00B37FEC" w:rsidRPr="00F43F87" w:rsidRDefault="00B37FEC" w:rsidP="002C3ACE">
      <w:pPr>
        <w:rPr>
          <w:rFonts w:ascii="Verdana" w:hAnsi="Verdana"/>
        </w:rPr>
      </w:pPr>
    </w:p>
    <w:p w14:paraId="2249C9E4" w14:textId="33B9BD3A" w:rsidR="00F13662" w:rsidRPr="00620215" w:rsidRDefault="00F13662" w:rsidP="00756EB2">
      <w:pPr>
        <w:rPr>
          <w:rFonts w:ascii="Verdana" w:hAnsi="Verdana"/>
          <w:i/>
          <w:color w:val="00565B"/>
        </w:rPr>
      </w:pPr>
      <w:r w:rsidRPr="00756EB2">
        <w:rPr>
          <w:rFonts w:ascii="Verdana" w:hAnsi="Verdana"/>
          <w:i/>
          <w:color w:val="00565B"/>
        </w:rPr>
        <w:t>“</w:t>
      </w:r>
      <w:r w:rsidRPr="00620215">
        <w:rPr>
          <w:rFonts w:ascii="Verdana" w:hAnsi="Verdana"/>
          <w:i/>
          <w:color w:val="00565B"/>
        </w:rPr>
        <w:t>I call on [Member States] to immediately stop new placements in institutions, while at the same time adopting clear action plans for phasing out institutions and replacing them with community based services.”</w:t>
      </w:r>
    </w:p>
    <w:p w14:paraId="0CFEB0BC" w14:textId="40B5124A" w:rsidR="00F13662" w:rsidRPr="00D3783A" w:rsidRDefault="00F13662" w:rsidP="002C3ACE">
      <w:pPr>
        <w:rPr>
          <w:rFonts w:ascii="Verdana" w:hAnsi="Verdana"/>
          <w:i/>
          <w:sz w:val="18"/>
          <w:szCs w:val="18"/>
        </w:rPr>
      </w:pPr>
      <w:r w:rsidRPr="00D3783A">
        <w:rPr>
          <w:rFonts w:ascii="Verdana" w:hAnsi="Verdana"/>
          <w:i/>
          <w:sz w:val="18"/>
          <w:szCs w:val="18"/>
        </w:rPr>
        <w:t xml:space="preserve">Council of Europe Commissioner for Human Rights, </w:t>
      </w:r>
      <w:hyperlink r:id="rId46" w:history="1">
        <w:r w:rsidRPr="00D3783A">
          <w:rPr>
            <w:rStyle w:val="Hyperlink"/>
            <w:rFonts w:ascii="Verdana" w:hAnsi="Verdana"/>
            <w:i/>
            <w:sz w:val="18"/>
            <w:szCs w:val="18"/>
          </w:rPr>
          <w:t>Deinstitutionalisation in the work of the Council of Europe Commissioner for Human Rights</w:t>
        </w:r>
      </w:hyperlink>
      <w:r w:rsidRPr="00D3783A">
        <w:rPr>
          <w:rFonts w:ascii="Verdana" w:hAnsi="Verdana"/>
          <w:i/>
          <w:sz w:val="18"/>
          <w:szCs w:val="18"/>
        </w:rPr>
        <w:t>, Strasbourg, 2 October 2014</w:t>
      </w:r>
    </w:p>
    <w:p w14:paraId="1F17B3E5" w14:textId="77777777" w:rsidR="00D3783A" w:rsidRPr="00620215" w:rsidRDefault="00D3783A" w:rsidP="002C3ACE">
      <w:pPr>
        <w:rPr>
          <w:rFonts w:ascii="Verdana" w:hAnsi="Verdana"/>
          <w:i/>
          <w:sz w:val="20"/>
          <w:szCs w:val="20"/>
        </w:rPr>
      </w:pPr>
    </w:p>
    <w:p w14:paraId="1E2D98E0" w14:textId="3C0BB71A" w:rsidR="00F13662" w:rsidRPr="00F43F87" w:rsidRDefault="00F13662" w:rsidP="002C3ACE">
      <w:pPr>
        <w:rPr>
          <w:rFonts w:ascii="Verdana" w:hAnsi="Verdana"/>
        </w:rPr>
      </w:pPr>
      <w:r w:rsidRPr="00F43F87">
        <w:rPr>
          <w:rFonts w:ascii="Verdana" w:hAnsi="Verdana"/>
        </w:rPr>
        <w:t xml:space="preserve">Around one third of </w:t>
      </w:r>
      <w:r w:rsidR="0031362B" w:rsidRPr="00F43F87">
        <w:rPr>
          <w:rFonts w:ascii="Verdana" w:hAnsi="Verdana"/>
        </w:rPr>
        <w:t>EU </w:t>
      </w:r>
      <w:r w:rsidRPr="00F43F87">
        <w:rPr>
          <w:rFonts w:ascii="Verdana" w:hAnsi="Verdana"/>
        </w:rPr>
        <w:t xml:space="preserve">Member States have committed to not building new institutions for persons with disabilities, FRA evidence indicates. This pledge is typically made either in national disability or deinstitutionalisation strategies, as in </w:t>
      </w:r>
      <w:r w:rsidRPr="00F43F87">
        <w:rPr>
          <w:rFonts w:ascii="Verdana" w:hAnsi="Verdana"/>
          <w:b/>
        </w:rPr>
        <w:t>Austria</w:t>
      </w:r>
      <w:r w:rsidRPr="00F43F87">
        <w:rPr>
          <w:rFonts w:ascii="Verdana" w:hAnsi="Verdana"/>
        </w:rPr>
        <w:t>,</w:t>
      </w:r>
      <w:r w:rsidRPr="00F43F87">
        <w:rPr>
          <w:rFonts w:ascii="Verdana" w:hAnsi="Verdana"/>
          <w:vertAlign w:val="superscript"/>
        </w:rPr>
        <w:endnoteReference w:id="58"/>
      </w:r>
      <w:r w:rsidRPr="00F43F87">
        <w:rPr>
          <w:rFonts w:ascii="Verdana" w:hAnsi="Verdana"/>
        </w:rPr>
        <w:t xml:space="preserve"> </w:t>
      </w:r>
      <w:r w:rsidRPr="00F43F87">
        <w:rPr>
          <w:rFonts w:ascii="Verdana" w:hAnsi="Verdana"/>
          <w:b/>
        </w:rPr>
        <w:t>Finland</w:t>
      </w:r>
      <w:r w:rsidRPr="00F43F87">
        <w:rPr>
          <w:rFonts w:ascii="Verdana" w:hAnsi="Verdana"/>
          <w:vertAlign w:val="superscript"/>
        </w:rPr>
        <w:endnoteReference w:id="59"/>
      </w:r>
      <w:r w:rsidRPr="00F43F87">
        <w:rPr>
          <w:rFonts w:ascii="Verdana" w:hAnsi="Verdana"/>
        </w:rPr>
        <w:t xml:space="preserve"> and</w:t>
      </w:r>
      <w:r w:rsidRPr="00F43F87">
        <w:rPr>
          <w:rFonts w:ascii="Verdana" w:hAnsi="Verdana"/>
          <w:b/>
        </w:rPr>
        <w:t xml:space="preserve"> Ireland</w:t>
      </w:r>
      <w:r w:rsidRPr="00F43F87">
        <w:rPr>
          <w:rFonts w:ascii="Verdana" w:hAnsi="Verdana"/>
        </w:rPr>
        <w:t>,</w:t>
      </w:r>
      <w:r w:rsidRPr="00F43F87">
        <w:rPr>
          <w:rFonts w:ascii="Verdana" w:hAnsi="Verdana"/>
          <w:vertAlign w:val="superscript"/>
        </w:rPr>
        <w:endnoteReference w:id="60"/>
      </w:r>
      <w:r w:rsidRPr="00F43F87">
        <w:rPr>
          <w:rFonts w:ascii="Verdana" w:hAnsi="Verdana"/>
        </w:rPr>
        <w:t xml:space="preserve"> or in other ways that are not legally binding. In </w:t>
      </w:r>
      <w:r w:rsidRPr="00F43F87">
        <w:rPr>
          <w:rFonts w:ascii="Verdana" w:hAnsi="Verdana"/>
          <w:b/>
        </w:rPr>
        <w:t>Slovakia</w:t>
      </w:r>
      <w:r w:rsidRPr="00F43F87">
        <w:rPr>
          <w:rFonts w:ascii="Verdana" w:hAnsi="Verdana"/>
          <w:vertAlign w:val="superscript"/>
        </w:rPr>
        <w:endnoteReference w:id="61"/>
      </w:r>
      <w:r w:rsidRPr="00F43F87">
        <w:rPr>
          <w:rFonts w:ascii="Verdana" w:hAnsi="Verdana"/>
          <w:b/>
        </w:rPr>
        <w:t xml:space="preserve"> </w:t>
      </w:r>
      <w:r w:rsidRPr="00F43F87">
        <w:rPr>
          <w:rFonts w:ascii="Verdana" w:hAnsi="Verdana"/>
        </w:rPr>
        <w:t>and</w:t>
      </w:r>
      <w:r w:rsidRPr="00F43F87">
        <w:rPr>
          <w:rFonts w:ascii="Verdana" w:hAnsi="Verdana"/>
          <w:b/>
        </w:rPr>
        <w:t xml:space="preserve"> Sweden</w:t>
      </w:r>
      <w:r w:rsidRPr="00D3783A">
        <w:rPr>
          <w:rFonts w:ascii="Verdana" w:hAnsi="Verdana"/>
        </w:rPr>
        <w:t>,</w:t>
      </w:r>
      <w:r w:rsidRPr="00F43F87">
        <w:rPr>
          <w:rFonts w:ascii="Verdana" w:hAnsi="Verdana"/>
          <w:vertAlign w:val="superscript"/>
        </w:rPr>
        <w:endnoteReference w:id="62"/>
      </w:r>
      <w:r w:rsidRPr="00F43F87">
        <w:rPr>
          <w:rFonts w:ascii="Verdana" w:hAnsi="Verdana"/>
          <w:b/>
        </w:rPr>
        <w:t xml:space="preserve"> </w:t>
      </w:r>
      <w:r w:rsidRPr="00F43F87">
        <w:rPr>
          <w:rFonts w:ascii="Verdana" w:hAnsi="Verdana"/>
        </w:rPr>
        <w:t>in contrast, it is enshrined in law.</w:t>
      </w:r>
    </w:p>
    <w:p w14:paraId="42371146" w14:textId="2F456F71" w:rsidR="00F13662" w:rsidRPr="00F43F87" w:rsidRDefault="00F13662" w:rsidP="002C3ACE">
      <w:pPr>
        <w:rPr>
          <w:rFonts w:ascii="Verdana" w:hAnsi="Verdana"/>
        </w:rPr>
      </w:pPr>
      <w:r w:rsidRPr="00F43F87">
        <w:rPr>
          <w:rFonts w:ascii="Verdana" w:hAnsi="Verdana"/>
        </w:rPr>
        <w:t xml:space="preserve">Other Member States, including </w:t>
      </w:r>
      <w:r w:rsidRPr="00F43F87">
        <w:rPr>
          <w:rFonts w:ascii="Verdana" w:hAnsi="Verdana"/>
          <w:b/>
        </w:rPr>
        <w:t>Bulgaria</w:t>
      </w:r>
      <w:r w:rsidRPr="00F43F87">
        <w:rPr>
          <w:rFonts w:ascii="Verdana" w:hAnsi="Verdana"/>
        </w:rPr>
        <w:t>,</w:t>
      </w:r>
      <w:r w:rsidRPr="00F43F87">
        <w:rPr>
          <w:rFonts w:ascii="Verdana" w:hAnsi="Verdana"/>
          <w:vertAlign w:val="superscript"/>
        </w:rPr>
        <w:endnoteReference w:id="63"/>
      </w:r>
      <w:r w:rsidRPr="00F43F87">
        <w:rPr>
          <w:rFonts w:ascii="Verdana" w:hAnsi="Verdana"/>
          <w:b/>
        </w:rPr>
        <w:t xml:space="preserve"> Estonia</w:t>
      </w:r>
      <w:r w:rsidRPr="00F43F87">
        <w:rPr>
          <w:rFonts w:ascii="Verdana" w:hAnsi="Verdana"/>
        </w:rPr>
        <w:t>,</w:t>
      </w:r>
      <w:r w:rsidRPr="00F43F87">
        <w:rPr>
          <w:rFonts w:ascii="Verdana" w:hAnsi="Verdana"/>
          <w:b/>
        </w:rPr>
        <w:t xml:space="preserve"> Hungary</w:t>
      </w:r>
      <w:r w:rsidRPr="00F43F87">
        <w:rPr>
          <w:rFonts w:ascii="Verdana" w:hAnsi="Verdana"/>
          <w:vertAlign w:val="superscript"/>
        </w:rPr>
        <w:endnoteReference w:id="64"/>
      </w:r>
      <w:r w:rsidRPr="00F43F87">
        <w:rPr>
          <w:rFonts w:ascii="Verdana" w:hAnsi="Verdana"/>
        </w:rPr>
        <w:t xml:space="preserve"> and </w:t>
      </w:r>
      <w:r w:rsidRPr="00F43F87">
        <w:rPr>
          <w:rFonts w:ascii="Verdana" w:hAnsi="Verdana"/>
          <w:b/>
        </w:rPr>
        <w:t>Romania</w:t>
      </w:r>
      <w:r w:rsidRPr="00F43F87">
        <w:rPr>
          <w:rFonts w:ascii="Verdana" w:hAnsi="Verdana"/>
        </w:rPr>
        <w:t>,</w:t>
      </w:r>
      <w:r w:rsidRPr="00F43F87">
        <w:rPr>
          <w:rFonts w:ascii="Verdana" w:hAnsi="Verdana"/>
          <w:vertAlign w:val="superscript"/>
        </w:rPr>
        <w:endnoteReference w:id="65"/>
      </w:r>
      <w:r w:rsidRPr="00F43F87">
        <w:rPr>
          <w:rFonts w:ascii="Verdana" w:hAnsi="Verdana"/>
        </w:rPr>
        <w:t xml:space="preserve"> have not explicitly committed to not building new institutions. Instead, they have set themselves goals for deinstitutionalisation that would be difficult to meet if new institutions were built. In </w:t>
      </w:r>
      <w:r w:rsidRPr="00F43F87">
        <w:rPr>
          <w:rFonts w:ascii="Verdana" w:hAnsi="Verdana"/>
          <w:b/>
        </w:rPr>
        <w:t>Estonia</w:t>
      </w:r>
      <w:r w:rsidRPr="00F43F87">
        <w:rPr>
          <w:rFonts w:ascii="Verdana" w:hAnsi="Verdana"/>
        </w:rPr>
        <w:t>, with support from the European Regional Development Fund, the proportion of people who receive 24-hour services in institutions with more than 30 service slots should be reduced to 30 % by 2020, the Special Care and Welfare Development Plan 2014–2020 states.</w:t>
      </w:r>
      <w:r w:rsidRPr="00F43F87">
        <w:rPr>
          <w:rFonts w:ascii="Verdana" w:hAnsi="Verdana"/>
          <w:vertAlign w:val="superscript"/>
        </w:rPr>
        <w:endnoteReference w:id="66"/>
      </w:r>
    </w:p>
    <w:p w14:paraId="54C2A099" w14:textId="169142C2" w:rsidR="00F13662" w:rsidRPr="00F43F87" w:rsidRDefault="00F13662" w:rsidP="002C3ACE">
      <w:pPr>
        <w:rPr>
          <w:rFonts w:ascii="Verdana" w:hAnsi="Verdana"/>
        </w:rPr>
      </w:pPr>
      <w:r w:rsidRPr="00F43F87">
        <w:rPr>
          <w:rFonts w:ascii="Verdana" w:hAnsi="Verdana"/>
        </w:rPr>
        <w:t>The nature of these commitments, however, varies significantly. A look at a few key features highlights the diversity of approaches:</w:t>
      </w:r>
    </w:p>
    <w:p w14:paraId="0F3E9FAC" w14:textId="34B51029" w:rsidR="00D3783A" w:rsidRDefault="00F13662" w:rsidP="00D3783A">
      <w:pPr>
        <w:pStyle w:val="ListParagraph"/>
        <w:numPr>
          <w:ilvl w:val="0"/>
          <w:numId w:val="28"/>
        </w:numPr>
        <w:rPr>
          <w:rFonts w:ascii="Verdana" w:hAnsi="Verdana"/>
        </w:rPr>
      </w:pPr>
      <w:r w:rsidRPr="00F43F87">
        <w:rPr>
          <w:rFonts w:ascii="Verdana" w:hAnsi="Verdana"/>
          <w:b/>
        </w:rPr>
        <w:t xml:space="preserve">Timeline: </w:t>
      </w:r>
      <w:r w:rsidRPr="00F43F87">
        <w:rPr>
          <w:rFonts w:ascii="Verdana" w:hAnsi="Verdana"/>
        </w:rPr>
        <w:t xml:space="preserve">While the responsible minister in </w:t>
      </w:r>
      <w:r w:rsidRPr="00F43F87">
        <w:rPr>
          <w:rFonts w:ascii="Verdana" w:hAnsi="Verdana"/>
          <w:b/>
        </w:rPr>
        <w:t>Romania</w:t>
      </w:r>
      <w:r w:rsidRPr="00F43F87">
        <w:rPr>
          <w:rFonts w:ascii="Verdana" w:hAnsi="Verdana"/>
        </w:rPr>
        <w:t xml:space="preserve"> has committed to finalising the deinstitutionalisation process by 2020, the deadline for fulfilling the </w:t>
      </w:r>
      <w:r w:rsidRPr="00F43F87">
        <w:rPr>
          <w:rFonts w:ascii="Verdana" w:hAnsi="Verdana"/>
          <w:b/>
        </w:rPr>
        <w:t xml:space="preserve">Bulgarian </w:t>
      </w:r>
      <w:r w:rsidRPr="00F43F87">
        <w:rPr>
          <w:rFonts w:ascii="Verdana" w:hAnsi="Verdana"/>
        </w:rPr>
        <w:t xml:space="preserve">commitment is 2025, and the timeframe for institutions to close in </w:t>
      </w:r>
      <w:r w:rsidRPr="00F43F87">
        <w:rPr>
          <w:rFonts w:ascii="Verdana" w:hAnsi="Verdana"/>
          <w:b/>
        </w:rPr>
        <w:t>Hungary</w:t>
      </w:r>
      <w:r w:rsidRPr="00F43F87">
        <w:rPr>
          <w:rFonts w:ascii="Verdana" w:hAnsi="Verdana"/>
        </w:rPr>
        <w:t xml:space="preserve"> is 2041.</w:t>
      </w:r>
    </w:p>
    <w:p w14:paraId="5F646A59" w14:textId="77777777" w:rsidR="004D7E8E" w:rsidRPr="00D3783A" w:rsidRDefault="004D7E8E" w:rsidP="004D7E8E">
      <w:pPr>
        <w:pStyle w:val="ListParagraph"/>
        <w:rPr>
          <w:rFonts w:ascii="Verdana" w:hAnsi="Verdana"/>
        </w:rPr>
      </w:pPr>
    </w:p>
    <w:p w14:paraId="5049E405" w14:textId="7F56E699" w:rsidR="00D3783A" w:rsidRDefault="00F13662" w:rsidP="00D3783A">
      <w:pPr>
        <w:pStyle w:val="ListParagraph"/>
        <w:numPr>
          <w:ilvl w:val="0"/>
          <w:numId w:val="28"/>
        </w:numPr>
        <w:rPr>
          <w:rFonts w:ascii="Verdana" w:hAnsi="Verdana"/>
        </w:rPr>
      </w:pPr>
      <w:r w:rsidRPr="00F43F87">
        <w:rPr>
          <w:rFonts w:ascii="Verdana" w:hAnsi="Verdana"/>
          <w:b/>
        </w:rPr>
        <w:t xml:space="preserve">Impairment group: </w:t>
      </w:r>
      <w:r w:rsidRPr="00F43F87">
        <w:rPr>
          <w:rFonts w:ascii="Verdana" w:hAnsi="Verdana"/>
        </w:rPr>
        <w:t xml:space="preserve">Several commitments relate to specific impairment groups. The </w:t>
      </w:r>
      <w:r w:rsidRPr="00F43F87">
        <w:rPr>
          <w:rFonts w:ascii="Verdana" w:hAnsi="Verdana"/>
          <w:b/>
        </w:rPr>
        <w:t>Finnish</w:t>
      </w:r>
      <w:r w:rsidRPr="00F43F87">
        <w:rPr>
          <w:rFonts w:ascii="Verdana" w:hAnsi="Verdana"/>
        </w:rPr>
        <w:t xml:space="preserve"> commitment relates specifically to persons with intellectual disabilities. In contrast, the </w:t>
      </w:r>
      <w:r w:rsidRPr="00F43F87">
        <w:rPr>
          <w:rFonts w:ascii="Verdana" w:hAnsi="Verdana"/>
          <w:b/>
        </w:rPr>
        <w:t>Irish</w:t>
      </w:r>
      <w:r w:rsidRPr="00F43F87">
        <w:rPr>
          <w:rFonts w:ascii="Verdana" w:hAnsi="Verdana"/>
        </w:rPr>
        <w:t xml:space="preserve"> government committed to closing “all unsuitable psychiatric settings”. The </w:t>
      </w:r>
      <w:r w:rsidR="0031362B" w:rsidRPr="00F43F87">
        <w:rPr>
          <w:rFonts w:ascii="Verdana" w:hAnsi="Verdana"/>
        </w:rPr>
        <w:t>CRPD </w:t>
      </w:r>
      <w:r w:rsidRPr="00F43F87">
        <w:rPr>
          <w:rFonts w:ascii="Verdana" w:hAnsi="Verdana"/>
        </w:rPr>
        <w:t>Committee has called for “special attention [to] be paid to persons with psychosocial and/or intellectual disabilities” in deinstitutionalisation strategies.</w:t>
      </w:r>
      <w:r w:rsidRPr="00F43F87">
        <w:rPr>
          <w:rStyle w:val="EndnoteReference"/>
          <w:rFonts w:ascii="Verdana" w:hAnsi="Verdana"/>
        </w:rPr>
        <w:endnoteReference w:id="67"/>
      </w:r>
    </w:p>
    <w:p w14:paraId="24863F99" w14:textId="403F16E2" w:rsidR="004D7E8E" w:rsidRPr="004D7E8E" w:rsidRDefault="004D7E8E" w:rsidP="004D7E8E">
      <w:pPr>
        <w:pStyle w:val="ListParagraph"/>
        <w:rPr>
          <w:rFonts w:ascii="Verdana" w:hAnsi="Verdana"/>
        </w:rPr>
      </w:pPr>
    </w:p>
    <w:p w14:paraId="392CCA01" w14:textId="4A5E80D9" w:rsidR="00D3783A" w:rsidRDefault="00F13662" w:rsidP="00D3783A">
      <w:pPr>
        <w:pStyle w:val="ListParagraph"/>
        <w:numPr>
          <w:ilvl w:val="0"/>
          <w:numId w:val="28"/>
        </w:numPr>
        <w:rPr>
          <w:rFonts w:ascii="Verdana" w:hAnsi="Verdana"/>
        </w:rPr>
      </w:pPr>
      <w:r w:rsidRPr="00F43F87">
        <w:rPr>
          <w:rFonts w:ascii="Verdana" w:hAnsi="Verdana"/>
          <w:b/>
        </w:rPr>
        <w:t xml:space="preserve">Size of accommodation: </w:t>
      </w:r>
      <w:r w:rsidRPr="00F43F87">
        <w:rPr>
          <w:rFonts w:ascii="Verdana" w:hAnsi="Verdana"/>
        </w:rPr>
        <w:t xml:space="preserve">The </w:t>
      </w:r>
      <w:r w:rsidRPr="00F43F87">
        <w:rPr>
          <w:rFonts w:ascii="Verdana" w:hAnsi="Verdana"/>
          <w:b/>
        </w:rPr>
        <w:t>Austrian</w:t>
      </w:r>
      <w:r w:rsidRPr="00F43F87">
        <w:rPr>
          <w:rFonts w:ascii="Verdana" w:hAnsi="Verdana"/>
        </w:rPr>
        <w:t xml:space="preserve"> commitment does not specify the maximum number of persons with disabilities who could live together in ‘deinstitutionalised’ accommodation. It does, however, call for replacing large institutions with smaller group homes, shared flats or single apartments. The commitment in </w:t>
      </w:r>
      <w:r w:rsidRPr="00F43F87">
        <w:rPr>
          <w:rFonts w:ascii="Verdana" w:hAnsi="Verdana"/>
          <w:b/>
        </w:rPr>
        <w:t>Hungary</w:t>
      </w:r>
      <w:r w:rsidRPr="00F43F87">
        <w:rPr>
          <w:rFonts w:ascii="Verdana" w:hAnsi="Verdana"/>
        </w:rPr>
        <w:t xml:space="preserve">, in contrast, is limited to closing institutions with more than 50 places for persons with disabilities. While emphasising that institutions can differ in size, the </w:t>
      </w:r>
      <w:r w:rsidR="0031362B" w:rsidRPr="00F43F87">
        <w:rPr>
          <w:rFonts w:ascii="Verdana" w:hAnsi="Verdana"/>
        </w:rPr>
        <w:t>CRPD </w:t>
      </w:r>
      <w:r w:rsidRPr="00F43F87">
        <w:rPr>
          <w:rFonts w:ascii="Verdana" w:hAnsi="Verdana"/>
        </w:rPr>
        <w:t>Committee states that smaller group homes with five to eight individuals cannot be called independent living.</w:t>
      </w:r>
      <w:r w:rsidRPr="00F43F87">
        <w:rPr>
          <w:rStyle w:val="EndnoteReference"/>
          <w:rFonts w:ascii="Verdana" w:hAnsi="Verdana"/>
        </w:rPr>
        <w:endnoteReference w:id="68"/>
      </w:r>
    </w:p>
    <w:p w14:paraId="41018DA7" w14:textId="2DD55291" w:rsidR="004D7E8E" w:rsidRPr="004D7E8E" w:rsidRDefault="004D7E8E" w:rsidP="004D7E8E">
      <w:pPr>
        <w:pStyle w:val="ListParagraph"/>
        <w:rPr>
          <w:rFonts w:ascii="Verdana" w:hAnsi="Verdana"/>
        </w:rPr>
      </w:pPr>
    </w:p>
    <w:p w14:paraId="6FA4F854" w14:textId="6B10E71A" w:rsidR="00F13662" w:rsidRDefault="00F13662" w:rsidP="002C3ACE">
      <w:pPr>
        <w:pStyle w:val="ListParagraph"/>
        <w:numPr>
          <w:ilvl w:val="0"/>
          <w:numId w:val="28"/>
        </w:numPr>
        <w:rPr>
          <w:rFonts w:ascii="Verdana" w:hAnsi="Verdana"/>
        </w:rPr>
      </w:pPr>
      <w:r w:rsidRPr="00F43F87">
        <w:rPr>
          <w:rFonts w:ascii="Verdana" w:hAnsi="Verdana"/>
          <w:b/>
        </w:rPr>
        <w:lastRenderedPageBreak/>
        <w:t xml:space="preserve">Date of commitment: </w:t>
      </w:r>
      <w:r w:rsidRPr="00F43F87">
        <w:rPr>
          <w:rFonts w:ascii="Verdana" w:hAnsi="Verdana"/>
        </w:rPr>
        <w:t xml:space="preserve">Although many commitments are linked to </w:t>
      </w:r>
      <w:r w:rsidR="0031362B" w:rsidRPr="00F43F87">
        <w:rPr>
          <w:rFonts w:ascii="Verdana" w:hAnsi="Verdana"/>
        </w:rPr>
        <w:t>CRPD </w:t>
      </w:r>
      <w:r w:rsidRPr="00F43F87">
        <w:rPr>
          <w:rFonts w:ascii="Verdana" w:hAnsi="Verdana"/>
        </w:rPr>
        <w:t xml:space="preserve">ratification, those in </w:t>
      </w:r>
      <w:r w:rsidRPr="00F43F87">
        <w:rPr>
          <w:rFonts w:ascii="Verdana" w:hAnsi="Verdana"/>
          <w:b/>
        </w:rPr>
        <w:t>Austria</w:t>
      </w:r>
      <w:r w:rsidRPr="00F43F87">
        <w:rPr>
          <w:rFonts w:ascii="Verdana" w:hAnsi="Verdana"/>
        </w:rPr>
        <w:t xml:space="preserve"> and </w:t>
      </w:r>
      <w:r w:rsidRPr="00F43F87">
        <w:rPr>
          <w:rFonts w:ascii="Verdana" w:hAnsi="Verdana"/>
          <w:b/>
        </w:rPr>
        <w:t>Sweden</w:t>
      </w:r>
      <w:r w:rsidRPr="00F43F87">
        <w:rPr>
          <w:rFonts w:ascii="Verdana" w:hAnsi="Verdana"/>
        </w:rPr>
        <w:t xml:space="preserve"> stem from the 1990s. </w:t>
      </w:r>
      <w:r w:rsidRPr="00F43F87">
        <w:rPr>
          <w:rFonts w:ascii="Verdana" w:hAnsi="Verdana"/>
          <w:b/>
        </w:rPr>
        <w:t>Swedish</w:t>
      </w:r>
      <w:r w:rsidRPr="00F43F87">
        <w:rPr>
          <w:rFonts w:ascii="Verdana" w:hAnsi="Verdana"/>
        </w:rPr>
        <w:t xml:space="preserve"> legislation from 1997 specified that residential institutions would not be recognised by law after December 1999.</w:t>
      </w:r>
      <w:r w:rsidRPr="00F43F87">
        <w:rPr>
          <w:rFonts w:ascii="Verdana" w:hAnsi="Verdana"/>
          <w:vertAlign w:val="superscript"/>
        </w:rPr>
        <w:endnoteReference w:id="69"/>
      </w:r>
    </w:p>
    <w:p w14:paraId="7D53C885" w14:textId="536663DE" w:rsidR="004D7E8E" w:rsidRDefault="004D7E8E" w:rsidP="00D3783A">
      <w:pPr>
        <w:pStyle w:val="ListParagraph"/>
        <w:rPr>
          <w:rFonts w:ascii="Verdana" w:hAnsi="Verdana"/>
        </w:rPr>
      </w:pPr>
    </w:p>
    <w:p w14:paraId="7FFE21DF" w14:textId="77777777" w:rsidR="004D7E8E" w:rsidRPr="00F43F87" w:rsidRDefault="004D7E8E" w:rsidP="00D3783A">
      <w:pPr>
        <w:pStyle w:val="ListParagraph"/>
        <w:rPr>
          <w:rFonts w:ascii="Verdana" w:hAnsi="Verdana"/>
        </w:rPr>
      </w:pPr>
    </w:p>
    <w:p w14:paraId="484FC6E1" w14:textId="3453E64E" w:rsidR="00F13662" w:rsidRPr="00F43F87" w:rsidRDefault="00F13662" w:rsidP="002C3ACE">
      <w:pPr>
        <w:rPr>
          <w:rFonts w:ascii="Verdana" w:hAnsi="Verdana"/>
        </w:rPr>
      </w:pPr>
      <w:r w:rsidRPr="00F43F87">
        <w:rPr>
          <w:rFonts w:ascii="Verdana" w:hAnsi="Verdana"/>
        </w:rPr>
        <w:t xml:space="preserve">In contrast, there are concerns in several Member States about a tendency towards reinstitutionalisation, as progress towards the transition to community-based support risks being undone. In </w:t>
      </w:r>
      <w:r w:rsidRPr="00F43F87">
        <w:rPr>
          <w:rFonts w:ascii="Verdana" w:hAnsi="Verdana"/>
          <w:b/>
        </w:rPr>
        <w:t>Denmark</w:t>
      </w:r>
      <w:r w:rsidRPr="00F43F87">
        <w:rPr>
          <w:rFonts w:ascii="Verdana" w:hAnsi="Verdana"/>
        </w:rPr>
        <w:t>, both DPOs and independent national human rights institutions have expressed concern about a return to large institution-like accommodation.</w:t>
      </w:r>
      <w:r w:rsidRPr="00F43F87">
        <w:rPr>
          <w:rFonts w:ascii="Verdana" w:hAnsi="Verdana"/>
          <w:vertAlign w:val="superscript"/>
        </w:rPr>
        <w:endnoteReference w:id="70"/>
      </w:r>
      <w:r w:rsidRPr="00F43F87">
        <w:rPr>
          <w:rFonts w:ascii="Verdana" w:hAnsi="Verdana"/>
        </w:rPr>
        <w:t xml:space="preserve"> They highlight that the government has refrained from defining a legal maximum number of users of a housing unit and that housing units intended for 40–100 persons with intellectual disabilities have been built.</w:t>
      </w:r>
      <w:r w:rsidRPr="00F43F87">
        <w:rPr>
          <w:rFonts w:ascii="Verdana" w:hAnsi="Verdana"/>
          <w:vertAlign w:val="superscript"/>
        </w:rPr>
        <w:endnoteReference w:id="71"/>
      </w:r>
      <w:r w:rsidRPr="00F43F87">
        <w:rPr>
          <w:rFonts w:ascii="Verdana" w:hAnsi="Verdana"/>
        </w:rPr>
        <w:t xml:space="preserve"> In </w:t>
      </w:r>
      <w:r w:rsidRPr="00F43F87">
        <w:rPr>
          <w:rFonts w:ascii="Verdana" w:hAnsi="Verdana"/>
          <w:b/>
        </w:rPr>
        <w:t>Hungary</w:t>
      </w:r>
      <w:r w:rsidRPr="00F43F87">
        <w:rPr>
          <w:rFonts w:ascii="Verdana" w:hAnsi="Verdana"/>
        </w:rPr>
        <w:t>, legislation effective from 2015 permits the opening or enlargement of institutions that provide ‘therapeutic care’ for persons with disabilities, psychiatric conditions or addictions. The institutions may have up to 50 places.</w:t>
      </w:r>
      <w:r w:rsidRPr="00F43F87">
        <w:rPr>
          <w:rStyle w:val="EndnoteReference"/>
          <w:rFonts w:ascii="Verdana" w:hAnsi="Verdana"/>
        </w:rPr>
        <w:endnoteReference w:id="72"/>
      </w:r>
    </w:p>
    <w:p w14:paraId="180BAFE8" w14:textId="18E02737" w:rsidR="00D3783A" w:rsidRDefault="00F13662" w:rsidP="002C3ACE">
      <w:pPr>
        <w:rPr>
          <w:rFonts w:ascii="Verdana" w:hAnsi="Verdana"/>
        </w:rPr>
      </w:pPr>
      <w:r w:rsidRPr="00F43F87">
        <w:rPr>
          <w:rFonts w:ascii="Verdana" w:hAnsi="Verdana"/>
        </w:rPr>
        <w:t xml:space="preserve">A corollary of the commitment not to build institutions is stopping new admissions to existing institutional settings. Fewer Member States have made such commitments, FRA evidence suggests. The </w:t>
      </w:r>
      <w:r w:rsidRPr="00F43F87">
        <w:rPr>
          <w:rFonts w:ascii="Verdana" w:hAnsi="Verdana"/>
          <w:b/>
        </w:rPr>
        <w:t xml:space="preserve">Estonian </w:t>
      </w:r>
      <w:r w:rsidRPr="00F43F87">
        <w:rPr>
          <w:rFonts w:ascii="Verdana" w:hAnsi="Verdana"/>
        </w:rPr>
        <w:t>government has committed to not increasing the number of persons with psychosocial disabilities living in institutions.</w:t>
      </w:r>
      <w:r w:rsidRPr="00F43F87">
        <w:rPr>
          <w:rFonts w:ascii="Verdana" w:hAnsi="Verdana"/>
          <w:vertAlign w:val="superscript"/>
        </w:rPr>
        <w:endnoteReference w:id="73"/>
      </w:r>
      <w:r w:rsidRPr="00F43F87">
        <w:rPr>
          <w:rFonts w:ascii="Verdana" w:hAnsi="Verdana"/>
        </w:rPr>
        <w:t xml:space="preserve"> With the financial support of the European Regional Development Fund, institutions with more than 30 service slots will be reorganised to prevent institutional care. Similarly,</w:t>
      </w:r>
      <w:r w:rsidRPr="00F43F87">
        <w:rPr>
          <w:rFonts w:ascii="Verdana" w:hAnsi="Verdana"/>
          <w:b/>
        </w:rPr>
        <w:t xml:space="preserve"> Greece</w:t>
      </w:r>
      <w:r w:rsidRPr="00F43F87">
        <w:rPr>
          <w:rFonts w:ascii="Verdana" w:hAnsi="Verdana"/>
        </w:rPr>
        <w:t xml:space="preserve"> has a policy commitment to stop admitting persons with psychosocial disabilities to institutional care.</w:t>
      </w:r>
      <w:r w:rsidRPr="00F43F87">
        <w:rPr>
          <w:rFonts w:ascii="Verdana" w:hAnsi="Verdana"/>
          <w:vertAlign w:val="superscript"/>
        </w:rPr>
        <w:endnoteReference w:id="74"/>
      </w:r>
    </w:p>
    <w:p w14:paraId="2CD687AD" w14:textId="77777777" w:rsidR="000B3851" w:rsidRDefault="000B3851" w:rsidP="002C3ACE">
      <w:pPr>
        <w:rPr>
          <w:rFonts w:ascii="Verdana" w:hAnsi="Verdana"/>
        </w:rPr>
      </w:pPr>
      <w:bookmarkStart w:id="27" w:name="_Toc485993649"/>
      <w:bookmarkStart w:id="28" w:name="_Toc485998454"/>
      <w:bookmarkStart w:id="29" w:name="_Toc486941440"/>
    </w:p>
    <w:p w14:paraId="049D2E13" w14:textId="77777777" w:rsidR="000B3851" w:rsidRDefault="000B3851">
      <w:pPr>
        <w:rPr>
          <w:rFonts w:ascii="Verdana" w:hAnsi="Verdana"/>
        </w:rPr>
      </w:pPr>
      <w:r>
        <w:rPr>
          <w:rFonts w:ascii="Verdana" w:hAnsi="Verdana"/>
        </w:rPr>
        <w:br w:type="page"/>
      </w:r>
    </w:p>
    <w:p w14:paraId="1BAEC557" w14:textId="564907A0" w:rsidR="00D3783A" w:rsidRDefault="00836033" w:rsidP="00D3783A">
      <w:pPr>
        <w:pStyle w:val="Heading1"/>
        <w:rPr>
          <w:szCs w:val="30"/>
        </w:rPr>
      </w:pPr>
      <w:bookmarkStart w:id="30" w:name="_Toc500189299"/>
      <w:r>
        <w:rPr>
          <w:szCs w:val="30"/>
        </w:rPr>
        <w:lastRenderedPageBreak/>
        <w:t>2</w:t>
      </w:r>
      <w:r>
        <w:rPr>
          <w:szCs w:val="30"/>
        </w:rPr>
        <w:tab/>
      </w:r>
      <w:r w:rsidR="00F13662" w:rsidRPr="00D3783A">
        <w:rPr>
          <w:szCs w:val="30"/>
        </w:rPr>
        <w:t>Turning commitment into reality</w:t>
      </w:r>
      <w:bookmarkEnd w:id="27"/>
      <w:bookmarkEnd w:id="28"/>
      <w:bookmarkEnd w:id="29"/>
      <w:bookmarkEnd w:id="30"/>
    </w:p>
    <w:p w14:paraId="2958BDED" w14:textId="0342BE56" w:rsidR="00F13662" w:rsidRDefault="00F13662" w:rsidP="00756EB2">
      <w:pPr>
        <w:rPr>
          <w:rFonts w:ascii="Verdana" w:hAnsi="Verdana"/>
          <w:i/>
          <w:color w:val="00565B"/>
        </w:rPr>
      </w:pPr>
      <w:r w:rsidRPr="00D3783A">
        <w:rPr>
          <w:rFonts w:ascii="Verdana" w:hAnsi="Verdana"/>
          <w:i/>
          <w:color w:val="00565B"/>
        </w:rPr>
        <w:t>“De-institutionalization […] requires a systemic transformation, which includes the closure of institutions […] along with [the] establishment of a range of individualized support services […] as well as inclusive community services. Therefore, a coordinated, cross-government approach which ensures reforms […] on all levels and sectors of government, including local authorities, is required.”</w:t>
      </w:r>
    </w:p>
    <w:p w14:paraId="59B2C839" w14:textId="55DDDB91" w:rsidR="00F13662" w:rsidRPr="00D3783A" w:rsidRDefault="0031362B" w:rsidP="002C3ACE">
      <w:pPr>
        <w:rPr>
          <w:rFonts w:ascii="Verdana" w:hAnsi="Verdana"/>
          <w:i/>
          <w:sz w:val="18"/>
          <w:szCs w:val="18"/>
        </w:rPr>
      </w:pPr>
      <w:r w:rsidRPr="00D3783A">
        <w:rPr>
          <w:rFonts w:ascii="Verdana" w:hAnsi="Verdana"/>
          <w:i/>
          <w:sz w:val="18"/>
          <w:szCs w:val="18"/>
        </w:rPr>
        <w:t>CRPD </w:t>
      </w:r>
      <w:r w:rsidR="00F13662" w:rsidRPr="00D3783A">
        <w:rPr>
          <w:rFonts w:ascii="Verdana" w:hAnsi="Verdana"/>
          <w:i/>
          <w:sz w:val="18"/>
          <w:szCs w:val="18"/>
        </w:rPr>
        <w:t>Committee (2017), </w:t>
      </w:r>
      <w:hyperlink r:id="rId47" w:history="1">
        <w:r w:rsidR="00F13662" w:rsidRPr="00D3783A">
          <w:rPr>
            <w:rStyle w:val="Hyperlink"/>
            <w:rFonts w:ascii="Verdana" w:hAnsi="Verdana"/>
            <w:i/>
            <w:sz w:val="18"/>
            <w:szCs w:val="18"/>
          </w:rPr>
          <w:t>General Comment No. 5 – Article 19: Living independently and being included in the community</w:t>
        </w:r>
      </w:hyperlink>
      <w:r w:rsidR="00F13662" w:rsidRPr="00D3783A">
        <w:rPr>
          <w:rFonts w:ascii="Verdana" w:hAnsi="Verdana"/>
          <w:i/>
          <w:sz w:val="18"/>
          <w:szCs w:val="18"/>
        </w:rPr>
        <w:t>, CRPD/C/18/1, 29 August 2017, para. 58</w:t>
      </w:r>
    </w:p>
    <w:p w14:paraId="1DE5FABA" w14:textId="77777777" w:rsidR="00D3783A" w:rsidRDefault="00D3783A" w:rsidP="002C3ACE">
      <w:pPr>
        <w:pStyle w:val="CommentText"/>
        <w:rPr>
          <w:rFonts w:ascii="Verdana" w:hAnsi="Verdana"/>
        </w:rPr>
      </w:pPr>
    </w:p>
    <w:p w14:paraId="1AE44C7D" w14:textId="1AD07A8E" w:rsidR="00F13662" w:rsidRPr="00F43F87" w:rsidRDefault="00F13662" w:rsidP="002C3ACE">
      <w:pPr>
        <w:pStyle w:val="CommentText"/>
        <w:rPr>
          <w:rFonts w:ascii="Verdana" w:hAnsi="Verdana"/>
        </w:rPr>
      </w:pPr>
      <w:r w:rsidRPr="00F43F87">
        <w:rPr>
          <w:rFonts w:ascii="Verdana" w:hAnsi="Verdana"/>
        </w:rPr>
        <w:t>The transition from institutional to community-based support requires profound reform of social services to ensure that they facilitate both individual choice and inclusion in the community. In many cases this entails a wide-ranging reorganisation of the way support services for persons with disabilities are designed and provided. FRA has collected data about four important elements of the structural shift to services that promote and enable independent living in the community:</w:t>
      </w:r>
    </w:p>
    <w:p w14:paraId="7DED50C3" w14:textId="57DF0AC9" w:rsidR="00F13662" w:rsidRDefault="00F13662" w:rsidP="002C3ACE">
      <w:pPr>
        <w:pStyle w:val="ListParagraph"/>
        <w:numPr>
          <w:ilvl w:val="0"/>
          <w:numId w:val="28"/>
        </w:numPr>
        <w:rPr>
          <w:rFonts w:ascii="Verdana" w:hAnsi="Verdana"/>
        </w:rPr>
      </w:pPr>
      <w:r w:rsidRPr="00F43F87">
        <w:rPr>
          <w:rFonts w:ascii="Verdana" w:hAnsi="Verdana"/>
        </w:rPr>
        <w:t>responsibility for setting up inclusive community-based services;</w:t>
      </w:r>
    </w:p>
    <w:p w14:paraId="084FF356" w14:textId="77777777" w:rsidR="00D3783A" w:rsidRPr="00F43F87" w:rsidRDefault="00D3783A" w:rsidP="00D3783A">
      <w:pPr>
        <w:pStyle w:val="ListParagraph"/>
        <w:rPr>
          <w:rFonts w:ascii="Verdana" w:hAnsi="Verdana"/>
        </w:rPr>
      </w:pPr>
    </w:p>
    <w:p w14:paraId="144043E0" w14:textId="77FB4886" w:rsidR="00F13662" w:rsidRDefault="00F13662" w:rsidP="002C3ACE">
      <w:pPr>
        <w:pStyle w:val="ListParagraph"/>
        <w:numPr>
          <w:ilvl w:val="0"/>
          <w:numId w:val="28"/>
        </w:numPr>
        <w:rPr>
          <w:rFonts w:ascii="Verdana" w:hAnsi="Verdana"/>
        </w:rPr>
      </w:pPr>
      <w:r w:rsidRPr="00F43F87">
        <w:rPr>
          <w:rFonts w:ascii="Verdana" w:hAnsi="Verdana"/>
        </w:rPr>
        <w:t>coordinating deinstitutionalisation;</w:t>
      </w:r>
    </w:p>
    <w:p w14:paraId="0FF8837B" w14:textId="49F470CB" w:rsidR="00D3783A" w:rsidRPr="00D3783A" w:rsidRDefault="00D3783A" w:rsidP="00D3783A">
      <w:pPr>
        <w:pStyle w:val="ListParagraph"/>
        <w:rPr>
          <w:rFonts w:ascii="Verdana" w:hAnsi="Verdana"/>
        </w:rPr>
      </w:pPr>
    </w:p>
    <w:p w14:paraId="52C00469" w14:textId="347FF81C" w:rsidR="00F13662" w:rsidRDefault="00F13662" w:rsidP="002C3ACE">
      <w:pPr>
        <w:pStyle w:val="ListParagraph"/>
        <w:numPr>
          <w:ilvl w:val="0"/>
          <w:numId w:val="28"/>
        </w:numPr>
        <w:rPr>
          <w:rFonts w:ascii="Verdana" w:hAnsi="Verdana"/>
        </w:rPr>
      </w:pPr>
      <w:r w:rsidRPr="00F43F87">
        <w:rPr>
          <w:rFonts w:ascii="Verdana" w:hAnsi="Verdana"/>
        </w:rPr>
        <w:t>transferability of services across different administrative areas;</w:t>
      </w:r>
    </w:p>
    <w:p w14:paraId="64160B60" w14:textId="77777777" w:rsidR="00D3783A" w:rsidRPr="00F43F87" w:rsidRDefault="00D3783A" w:rsidP="00D3783A">
      <w:pPr>
        <w:pStyle w:val="ListParagraph"/>
        <w:rPr>
          <w:rFonts w:ascii="Verdana" w:hAnsi="Verdana"/>
        </w:rPr>
      </w:pPr>
    </w:p>
    <w:p w14:paraId="646B3D7E" w14:textId="7F487FF6" w:rsidR="00F13662" w:rsidRDefault="00F13662" w:rsidP="002C3ACE">
      <w:pPr>
        <w:pStyle w:val="ListParagraph"/>
        <w:numPr>
          <w:ilvl w:val="0"/>
          <w:numId w:val="28"/>
        </w:numPr>
        <w:rPr>
          <w:rFonts w:ascii="Verdana" w:hAnsi="Verdana"/>
        </w:rPr>
      </w:pPr>
      <w:r w:rsidRPr="00F43F87">
        <w:rPr>
          <w:rFonts w:ascii="Verdana" w:hAnsi="Verdana"/>
        </w:rPr>
        <w:t>sustainability of community-based services.</w:t>
      </w:r>
    </w:p>
    <w:p w14:paraId="7E001578" w14:textId="77777777" w:rsidR="00D3783A" w:rsidRPr="00F43F87" w:rsidRDefault="00D3783A" w:rsidP="00D3783A">
      <w:pPr>
        <w:pStyle w:val="ListParagraph"/>
        <w:rPr>
          <w:rFonts w:ascii="Verdana" w:hAnsi="Verdana"/>
        </w:rPr>
      </w:pPr>
    </w:p>
    <w:p w14:paraId="43570F28" w14:textId="360C67DB" w:rsidR="00F13662" w:rsidRPr="00F43F87" w:rsidRDefault="00F13662" w:rsidP="002C3ACE">
      <w:pPr>
        <w:pStyle w:val="CommentText"/>
        <w:rPr>
          <w:rFonts w:ascii="Verdana" w:hAnsi="Verdana"/>
        </w:rPr>
      </w:pPr>
      <w:r w:rsidRPr="00F43F87">
        <w:rPr>
          <w:rFonts w:ascii="Verdana" w:hAnsi="Verdana"/>
        </w:rPr>
        <w:t xml:space="preserve">Reflecting their obligations under the CRPD, all </w:t>
      </w:r>
      <w:r w:rsidR="0031362B" w:rsidRPr="00F43F87">
        <w:rPr>
          <w:rFonts w:ascii="Verdana" w:hAnsi="Verdana"/>
        </w:rPr>
        <w:t>EU </w:t>
      </w:r>
      <w:r w:rsidRPr="00F43F87">
        <w:rPr>
          <w:rFonts w:ascii="Verdana" w:hAnsi="Verdana"/>
        </w:rPr>
        <w:t xml:space="preserve">Member States provide a variety of community-based services for persons with disabilities. FRA’s background paper gives an overview of both institutional and community-based services in place in each of the 28 </w:t>
      </w:r>
      <w:r w:rsidR="0031362B" w:rsidRPr="00F43F87">
        <w:rPr>
          <w:rFonts w:ascii="Verdana" w:hAnsi="Verdana"/>
        </w:rPr>
        <w:t>EU </w:t>
      </w:r>
      <w:r w:rsidRPr="00F43F87">
        <w:rPr>
          <w:rFonts w:ascii="Verdana" w:hAnsi="Verdana"/>
        </w:rPr>
        <w:t>Member States.</w:t>
      </w:r>
      <w:r w:rsidRPr="00F43F87">
        <w:rPr>
          <w:rStyle w:val="EndnoteReference"/>
          <w:rFonts w:ascii="Verdana" w:hAnsi="Verdana"/>
          <w:sz w:val="22"/>
          <w:szCs w:val="22"/>
        </w:rPr>
        <w:endnoteReference w:id="75"/>
      </w:r>
      <w:r w:rsidRPr="00F43F87">
        <w:rPr>
          <w:rFonts w:ascii="Verdana" w:hAnsi="Verdana"/>
        </w:rPr>
        <w:t xml:space="preserve"> It reveals considerable divergence in the availability of such services and the extent to which they reflect the will and preferences of individual users.</w:t>
      </w:r>
    </w:p>
    <w:p w14:paraId="37B45C19" w14:textId="6D4ED193" w:rsidR="00F13662" w:rsidRPr="00F43F87" w:rsidRDefault="00F13662" w:rsidP="002C3ACE">
      <w:pPr>
        <w:pStyle w:val="CommentText"/>
        <w:rPr>
          <w:rFonts w:ascii="Verdana" w:hAnsi="Verdana"/>
        </w:rPr>
      </w:pPr>
      <w:r w:rsidRPr="00F43F87">
        <w:rPr>
          <w:rFonts w:ascii="Verdana" w:hAnsi="Verdana"/>
        </w:rPr>
        <w:t>This section complements that analysis by focusing on the national bodies and organisations responsible for implementing the structural reforms inherent to deinstitutionalisation processes. As with social services more broadly, the level of government at which decisions on community-based services are made can have a significant impact on what services are in place and how they are organised.</w:t>
      </w:r>
      <w:r w:rsidRPr="00F43F87">
        <w:rPr>
          <w:rStyle w:val="EndnoteReference"/>
          <w:rFonts w:ascii="Verdana" w:hAnsi="Verdana"/>
          <w:sz w:val="22"/>
          <w:szCs w:val="22"/>
        </w:rPr>
        <w:endnoteReference w:id="76"/>
      </w:r>
    </w:p>
    <w:p w14:paraId="2C5DC574" w14:textId="2F7330D1" w:rsidR="00F13662" w:rsidRPr="00F43F87" w:rsidRDefault="00F13662" w:rsidP="002C3ACE">
      <w:pPr>
        <w:rPr>
          <w:rFonts w:ascii="Verdana" w:hAnsi="Verdana"/>
        </w:rPr>
      </w:pPr>
      <w:r w:rsidRPr="00F43F87">
        <w:rPr>
          <w:rFonts w:ascii="Verdana" w:hAnsi="Verdana"/>
        </w:rPr>
        <w:t>FRA’s analysis identifies three main approaches to administering community-based services for persons with disabilities. In some countries, usually unitary states, the national government is responsible for overseeing and providing community-based services. Others, often countries with federal or devolved systems, decentralise responsibility to regional or local authorities. A further two groups of Member States have a mixed approach: in the first, the national and regional levels share responsibility; in the second, the responsible level of government depends on the type of service.</w:t>
      </w:r>
    </w:p>
    <w:p w14:paraId="10A58ED7" w14:textId="2BE9AEB9" w:rsidR="00F13662" w:rsidRPr="00F43F87" w:rsidRDefault="00F13662" w:rsidP="002C3ACE">
      <w:pPr>
        <w:rPr>
          <w:rFonts w:ascii="Verdana" w:eastAsia="Times New Roman" w:hAnsi="Verdana"/>
        </w:rPr>
      </w:pPr>
      <w:r w:rsidRPr="00F43F87">
        <w:rPr>
          <w:rFonts w:ascii="Verdana" w:hAnsi="Verdana"/>
        </w:rPr>
        <w:t xml:space="preserve">Where responsibility for community-based services lies at the national level, it typically falls under the mandate of the social ministry, or other bodies responsible for social or health policies. However, in some of these countries – for example, </w:t>
      </w:r>
      <w:r w:rsidRPr="00F43F87">
        <w:rPr>
          <w:rFonts w:ascii="Verdana" w:hAnsi="Verdana"/>
          <w:b/>
        </w:rPr>
        <w:t>Bulgaria</w:t>
      </w:r>
      <w:r w:rsidRPr="00F43F87">
        <w:rPr>
          <w:rFonts w:ascii="Verdana" w:hAnsi="Verdana"/>
        </w:rPr>
        <w:t xml:space="preserve">, </w:t>
      </w:r>
      <w:r w:rsidRPr="00F43F87">
        <w:rPr>
          <w:rFonts w:ascii="Verdana" w:eastAsia="Times New Roman" w:hAnsi="Verdana"/>
          <w:b/>
        </w:rPr>
        <w:t>Latvia</w:t>
      </w:r>
      <w:r w:rsidRPr="00F43F87">
        <w:rPr>
          <w:rFonts w:ascii="Verdana" w:eastAsia="Times New Roman" w:hAnsi="Verdana"/>
        </w:rPr>
        <w:t xml:space="preserve"> and </w:t>
      </w:r>
      <w:r w:rsidRPr="00F43F87">
        <w:rPr>
          <w:rFonts w:ascii="Verdana" w:eastAsia="Times New Roman" w:hAnsi="Verdana"/>
          <w:b/>
        </w:rPr>
        <w:t>Poland</w:t>
      </w:r>
      <w:r w:rsidRPr="00F43F87">
        <w:rPr>
          <w:rFonts w:ascii="Verdana" w:hAnsi="Verdana"/>
        </w:rPr>
        <w:t xml:space="preserve"> – while a national body holds overall responsibility, the implementation of services is delegated to </w:t>
      </w:r>
      <w:r w:rsidRPr="00F43F87">
        <w:rPr>
          <w:rFonts w:ascii="Verdana" w:eastAsia="Times New Roman" w:hAnsi="Verdana"/>
        </w:rPr>
        <w:t xml:space="preserve">local </w:t>
      </w:r>
      <w:r w:rsidRPr="00F43F87">
        <w:rPr>
          <w:rFonts w:ascii="Verdana" w:eastAsia="Times New Roman" w:hAnsi="Verdana"/>
        </w:rPr>
        <w:lastRenderedPageBreak/>
        <w:t xml:space="preserve">administrations. </w:t>
      </w:r>
      <w:r w:rsidRPr="00F43F87">
        <w:rPr>
          <w:rFonts w:ascii="Verdana" w:hAnsi="Verdana"/>
          <w:lang w:bidi="en-US"/>
        </w:rPr>
        <w:t xml:space="preserve">For example, in Bulgaria, the </w:t>
      </w:r>
      <w:r w:rsidRPr="00F43F87">
        <w:rPr>
          <w:rFonts w:ascii="Verdana" w:eastAsia="Times New Roman" w:hAnsi="Verdana"/>
        </w:rPr>
        <w:t>State Social Assistance Agency (</w:t>
      </w:r>
      <w:r w:rsidRPr="00F43F87">
        <w:rPr>
          <w:rFonts w:ascii="Verdana" w:hAnsi="Verdana"/>
          <w:i/>
        </w:rPr>
        <w:t>Агенция за социално подпомагане</w:t>
      </w:r>
      <w:r w:rsidRPr="00F43F87">
        <w:rPr>
          <w:rFonts w:ascii="Verdana" w:hAnsi="Verdana"/>
        </w:rPr>
        <w:t xml:space="preserve">) has </w:t>
      </w:r>
      <w:r w:rsidRPr="00F43F87">
        <w:rPr>
          <w:rFonts w:ascii="Verdana" w:hAnsi="Verdana"/>
          <w:lang w:bidi="en-US"/>
        </w:rPr>
        <w:t>overall responsibility for providing services, through its local Social Assistance Directorates.</w:t>
      </w:r>
      <w:r w:rsidRPr="00F43F87">
        <w:rPr>
          <w:rStyle w:val="EndnoteReference"/>
          <w:rFonts w:ascii="Verdana" w:eastAsia="Times New Roman" w:hAnsi="Verdana"/>
        </w:rPr>
        <w:endnoteReference w:id="77"/>
      </w:r>
      <w:r w:rsidRPr="00F43F87">
        <w:rPr>
          <w:rFonts w:ascii="Verdana" w:eastAsia="Times New Roman" w:hAnsi="Verdana"/>
        </w:rPr>
        <w:t xml:space="preserve"> </w:t>
      </w:r>
      <w:r w:rsidRPr="00F43F87">
        <w:rPr>
          <w:rFonts w:ascii="Verdana" w:hAnsi="Verdana"/>
          <w:lang w:bidi="en-US"/>
        </w:rPr>
        <w:t xml:space="preserve">As the deinstitutionalisation process is a national government commitment, new community-based services are devised at the national level by the Social Assistance Agency. However, municipalities decide which of these services they will actually provide, </w:t>
      </w:r>
      <w:r w:rsidRPr="00F43F87">
        <w:rPr>
          <w:rFonts w:ascii="Verdana" w:eastAsia="Times New Roman" w:hAnsi="Verdana"/>
        </w:rPr>
        <w:t>taking into account local needs.</w:t>
      </w:r>
      <w:r w:rsidRPr="00F43F87">
        <w:rPr>
          <w:rStyle w:val="EndnoteReference"/>
          <w:rFonts w:ascii="Verdana" w:eastAsia="Times New Roman" w:hAnsi="Verdana"/>
        </w:rPr>
        <w:endnoteReference w:id="78"/>
      </w:r>
    </w:p>
    <w:p w14:paraId="2DEC0134" w14:textId="3DF9E372" w:rsidR="00F13662" w:rsidRPr="00F43F87" w:rsidRDefault="00F13662" w:rsidP="002C3ACE">
      <w:pPr>
        <w:rPr>
          <w:rFonts w:ascii="Verdana" w:hAnsi="Verdana"/>
        </w:rPr>
      </w:pPr>
      <w:r w:rsidRPr="00F43F87">
        <w:rPr>
          <w:rFonts w:ascii="Verdana" w:hAnsi="Verdana"/>
        </w:rPr>
        <w:t>Where regions are responsible for community-based services, the particular distribution is frequently based on the country’s specific federal or devolved structure. For example, i</w:t>
      </w:r>
      <w:r w:rsidRPr="00F43F87">
        <w:rPr>
          <w:rFonts w:ascii="Verdana" w:hAnsi="Verdana"/>
          <w:lang w:bidi="en-US"/>
        </w:rPr>
        <w:t xml:space="preserve">n </w:t>
      </w:r>
      <w:r w:rsidRPr="00F43F87">
        <w:rPr>
          <w:rFonts w:ascii="Verdana" w:hAnsi="Verdana"/>
          <w:b/>
          <w:lang w:bidi="en-US"/>
        </w:rPr>
        <w:t>Germany</w:t>
      </w:r>
      <w:r w:rsidRPr="00F43F87">
        <w:rPr>
          <w:rFonts w:ascii="Verdana" w:hAnsi="Verdana"/>
          <w:lang w:bidi="en-US"/>
        </w:rPr>
        <w:t xml:space="preserve">, </w:t>
      </w:r>
      <w:r w:rsidRPr="00F43F87">
        <w:rPr>
          <w:rFonts w:ascii="Verdana" w:hAnsi="Verdana"/>
        </w:rPr>
        <w:t>a total of 23 local and regional social welfare agencies, which operate at the level of federal states, communal associations (</w:t>
      </w:r>
      <w:r w:rsidRPr="00F43F87">
        <w:rPr>
          <w:rFonts w:ascii="Verdana" w:hAnsi="Verdana"/>
          <w:i/>
        </w:rPr>
        <w:t>Kommunalverbände</w:t>
      </w:r>
      <w:r w:rsidRPr="00F43F87">
        <w:rPr>
          <w:rFonts w:ascii="Verdana" w:hAnsi="Verdana"/>
        </w:rPr>
        <w:t>) or city states (</w:t>
      </w:r>
      <w:r w:rsidRPr="00F43F87">
        <w:rPr>
          <w:rFonts w:ascii="Verdana" w:hAnsi="Verdana"/>
          <w:i/>
        </w:rPr>
        <w:t>Stadtstaaten</w:t>
      </w:r>
      <w:r w:rsidRPr="00F43F87">
        <w:rPr>
          <w:rFonts w:ascii="Verdana" w:hAnsi="Verdana"/>
        </w:rPr>
        <w:t>), are responsible for contracting providers of community-based services and for funding and overseeing their work.</w:t>
      </w:r>
      <w:r w:rsidRPr="00F43F87">
        <w:rPr>
          <w:rStyle w:val="EndnoteReference"/>
          <w:rFonts w:ascii="Verdana" w:hAnsi="Verdana"/>
        </w:rPr>
        <w:endnoteReference w:id="79"/>
      </w:r>
      <w:r w:rsidRPr="00F43F87">
        <w:rPr>
          <w:rFonts w:ascii="Verdana" w:hAnsi="Verdana"/>
        </w:rPr>
        <w:t xml:space="preserve"> Similarly, in </w:t>
      </w:r>
      <w:r w:rsidRPr="00F43F87">
        <w:rPr>
          <w:rFonts w:ascii="Verdana" w:hAnsi="Verdana"/>
          <w:b/>
        </w:rPr>
        <w:t>Spain</w:t>
      </w:r>
      <w:r w:rsidRPr="00F43F87">
        <w:rPr>
          <w:rFonts w:ascii="Verdana" w:hAnsi="Verdana"/>
        </w:rPr>
        <w:t>, the 17 Autonomous Communities (</w:t>
      </w:r>
      <w:r w:rsidRPr="00F43F87">
        <w:rPr>
          <w:rFonts w:ascii="Verdana" w:hAnsi="Verdana"/>
          <w:i/>
          <w:iCs/>
        </w:rPr>
        <w:t>Comunidades Autónomas</w:t>
      </w:r>
      <w:r w:rsidRPr="00F43F87">
        <w:rPr>
          <w:rFonts w:ascii="Verdana" w:hAnsi="Verdana"/>
        </w:rPr>
        <w:t>) have exclusive jurisdiction over social services.</w:t>
      </w:r>
      <w:r w:rsidRPr="00F43F87">
        <w:rPr>
          <w:rStyle w:val="EndnoteReference"/>
          <w:rFonts w:ascii="Verdana" w:hAnsi="Verdana"/>
        </w:rPr>
        <w:endnoteReference w:id="80"/>
      </w:r>
      <w:r w:rsidRPr="00F43F87">
        <w:rPr>
          <w:rFonts w:ascii="Verdana" w:hAnsi="Verdana"/>
        </w:rPr>
        <w:t xml:space="preserve"> In some Member States, however, the national government retains a steering role. Although the devolved administrations and local authorities have responsibility for community-based services in the </w:t>
      </w:r>
      <w:r w:rsidRPr="00F43F87">
        <w:rPr>
          <w:rFonts w:ascii="Verdana" w:hAnsi="Verdana"/>
          <w:b/>
        </w:rPr>
        <w:t>United Kingdom</w:t>
      </w:r>
      <w:r w:rsidRPr="00F43F87">
        <w:rPr>
          <w:rFonts w:ascii="Verdana" w:hAnsi="Verdana"/>
        </w:rPr>
        <w:t>, the devolved administrations are responsible for the overall direction and spending rounds.</w:t>
      </w:r>
    </w:p>
    <w:p w14:paraId="22D217A4" w14:textId="45EBD36D" w:rsidR="00F13662" w:rsidRPr="00F43F87" w:rsidRDefault="00F13662" w:rsidP="002C3ACE">
      <w:pPr>
        <w:rPr>
          <w:rFonts w:ascii="Verdana" w:hAnsi="Verdana"/>
        </w:rPr>
      </w:pPr>
      <w:r w:rsidRPr="00F43F87">
        <w:rPr>
          <w:rFonts w:ascii="Verdana" w:hAnsi="Verdana"/>
        </w:rPr>
        <w:t xml:space="preserve">A few examples highlight the practical challenges presented by having multiple bodies involved in the organisation and delivery of community-based services. One possible consequence is the need for </w:t>
      </w:r>
      <w:r w:rsidRPr="00F43F87">
        <w:rPr>
          <w:rFonts w:ascii="Verdana" w:eastAsia="Times New Roman" w:hAnsi="Verdana"/>
        </w:rPr>
        <w:t>various bodies at different levels of government</w:t>
      </w:r>
      <w:r w:rsidRPr="00F43F87">
        <w:rPr>
          <w:rFonts w:ascii="Verdana" w:hAnsi="Verdana"/>
        </w:rPr>
        <w:t xml:space="preserve"> to</w:t>
      </w:r>
      <w:r w:rsidRPr="00F43F87">
        <w:rPr>
          <w:rFonts w:ascii="Verdana" w:eastAsia="Times New Roman" w:hAnsi="Verdana"/>
        </w:rPr>
        <w:t xml:space="preserve"> approve</w:t>
      </w:r>
      <w:r w:rsidRPr="00F43F87">
        <w:rPr>
          <w:rFonts w:ascii="Verdana" w:hAnsi="Verdana"/>
        </w:rPr>
        <w:t xml:space="preserve"> decisions</w:t>
      </w:r>
      <w:r w:rsidRPr="00F43F87">
        <w:rPr>
          <w:rFonts w:ascii="Verdana" w:eastAsia="Times New Roman" w:hAnsi="Verdana"/>
        </w:rPr>
        <w:t xml:space="preserve">. For example, in </w:t>
      </w:r>
      <w:r w:rsidRPr="00F43F87">
        <w:rPr>
          <w:rFonts w:ascii="Verdana" w:eastAsia="Times New Roman" w:hAnsi="Verdana"/>
          <w:b/>
        </w:rPr>
        <w:t>Portugal</w:t>
      </w:r>
      <w:r w:rsidRPr="00F43F87">
        <w:rPr>
          <w:rFonts w:ascii="Verdana" w:eastAsia="Times New Roman" w:hAnsi="Verdana"/>
        </w:rPr>
        <w:t>, a decision by a</w:t>
      </w:r>
      <w:r w:rsidRPr="00F43F87">
        <w:rPr>
          <w:rFonts w:ascii="Verdana" w:hAnsi="Verdana"/>
        </w:rPr>
        <w:t xml:space="preserve"> Local Committee for Social Action</w:t>
      </w:r>
      <w:r w:rsidRPr="00F43F87">
        <w:rPr>
          <w:rFonts w:ascii="Verdana" w:hAnsi="Verdana"/>
          <w:i/>
        </w:rPr>
        <w:t xml:space="preserve"> </w:t>
      </w:r>
      <w:r w:rsidRPr="00F43F87">
        <w:rPr>
          <w:rFonts w:ascii="Verdana" w:hAnsi="Verdana"/>
        </w:rPr>
        <w:t>that a particular community-based service is required is subject to</w:t>
      </w:r>
      <w:r w:rsidRPr="00F43F87">
        <w:rPr>
          <w:rFonts w:ascii="Verdana" w:hAnsi="Verdana"/>
          <w:i/>
        </w:rPr>
        <w:t xml:space="preserve"> </w:t>
      </w:r>
      <w:r w:rsidRPr="00F43F87">
        <w:rPr>
          <w:rFonts w:ascii="Verdana" w:hAnsi="Verdana"/>
        </w:rPr>
        <w:t>approval by the relevant District Centre of the Institute for Social Security.</w:t>
      </w:r>
      <w:r w:rsidRPr="00F43F87">
        <w:rPr>
          <w:rStyle w:val="EndnoteReference"/>
          <w:rFonts w:ascii="Verdana" w:hAnsi="Verdana"/>
        </w:rPr>
        <w:endnoteReference w:id="81"/>
      </w:r>
      <w:r w:rsidRPr="00F43F87">
        <w:rPr>
          <w:rFonts w:ascii="Verdana" w:hAnsi="Verdana"/>
        </w:rPr>
        <w:t xml:space="preserve"> The District Centre’s Statement of Opinion about funding is in turn discussed and decided at the central level as part of the overall budget planning process. Similarly, different levels</w:t>
      </w:r>
      <w:r w:rsidRPr="00F43F87">
        <w:rPr>
          <w:rFonts w:ascii="Verdana" w:hAnsi="Verdana"/>
          <w:lang w:bidi="en-US"/>
        </w:rPr>
        <w:t xml:space="preserve"> of </w:t>
      </w:r>
      <w:r w:rsidRPr="00F43F87">
        <w:rPr>
          <w:rFonts w:ascii="Verdana" w:hAnsi="Verdana"/>
        </w:rPr>
        <w:t>regional government are involved in</w:t>
      </w:r>
      <w:r w:rsidRPr="00F43F87">
        <w:rPr>
          <w:rFonts w:ascii="Verdana" w:hAnsi="Verdana"/>
          <w:lang w:bidi="en-US"/>
        </w:rPr>
        <w:t xml:space="preserve"> the </w:t>
      </w:r>
      <w:r w:rsidRPr="00F43F87">
        <w:rPr>
          <w:rFonts w:ascii="Verdana" w:hAnsi="Verdana"/>
          <w:b/>
        </w:rPr>
        <w:t xml:space="preserve">Czech Republic </w:t>
      </w:r>
      <w:r w:rsidRPr="00F43F87">
        <w:rPr>
          <w:rFonts w:ascii="Verdana" w:hAnsi="Verdana"/>
          <w:lang w:bidi="en-US"/>
        </w:rPr>
        <w:t xml:space="preserve">and </w:t>
      </w:r>
      <w:r w:rsidRPr="00F43F87">
        <w:rPr>
          <w:rFonts w:ascii="Verdana" w:hAnsi="Verdana"/>
          <w:b/>
        </w:rPr>
        <w:t>Slovakia</w:t>
      </w:r>
      <w:r w:rsidRPr="00F43F87">
        <w:rPr>
          <w:rFonts w:ascii="Verdana" w:hAnsi="Verdana"/>
        </w:rPr>
        <w:t>.</w:t>
      </w:r>
      <w:r w:rsidRPr="00F43F87">
        <w:rPr>
          <w:rFonts w:ascii="Verdana" w:hAnsi="Verdana"/>
          <w:lang w:bidi="en-US"/>
        </w:rPr>
        <w:t xml:space="preserve"> In Slovakia, primary responsibility for both residential and community-based services lies with the self-governing regions,</w:t>
      </w:r>
      <w:r w:rsidRPr="00F43F87">
        <w:rPr>
          <w:rStyle w:val="EndnoteReference"/>
          <w:rFonts w:ascii="Verdana" w:hAnsi="Verdana"/>
          <w:lang w:bidi="en-US"/>
        </w:rPr>
        <w:endnoteReference w:id="82"/>
      </w:r>
      <w:r w:rsidRPr="00F43F87">
        <w:rPr>
          <w:rFonts w:ascii="Verdana" w:hAnsi="Verdana"/>
          <w:lang w:bidi="en-US"/>
        </w:rPr>
        <w:t xml:space="preserve"> while low-threshold day care centres for children and adults with disabilities, and respite and nursing care services are delegated to towns.</w:t>
      </w:r>
      <w:r w:rsidRPr="00F43F87">
        <w:rPr>
          <w:rStyle w:val="EndnoteReference"/>
          <w:rFonts w:ascii="Verdana" w:hAnsi="Verdana"/>
          <w:lang w:bidi="en-US"/>
        </w:rPr>
        <w:endnoteReference w:id="83"/>
      </w:r>
    </w:p>
    <w:p w14:paraId="7A5870CA" w14:textId="2A5F017E" w:rsidR="00F13662" w:rsidRDefault="00F13662" w:rsidP="002C3ACE">
      <w:pPr>
        <w:rPr>
          <w:rFonts w:ascii="Verdana" w:hAnsi="Verdana"/>
        </w:rPr>
      </w:pPr>
      <w:r w:rsidRPr="00F43F87">
        <w:rPr>
          <w:rFonts w:ascii="Verdana" w:hAnsi="Verdana"/>
        </w:rPr>
        <w:t>The wide range of different bodies and levels of government with responsibility for community-based services underlines the importance of coordination for effective deinstitutionalisation. This involves cooperation across two axes. Firstly, national, regional and local public authorities with overlapping or interlinked responsibilities for services need to cooperate closely (‘vertical’ coordination). This is particularly important in federal or decentralised Member States. However, it also requires ‘horizontal’ coordination between the different sectors without whose services the transition from institutional to community-based living cannot be realised. These include, among others, housing, health and employment services.</w:t>
      </w:r>
    </w:p>
    <w:p w14:paraId="5A773CE5" w14:textId="77777777" w:rsidR="00B37FEC" w:rsidRPr="00F43F87" w:rsidRDefault="00B37FEC" w:rsidP="002C3ACE">
      <w:pPr>
        <w:rPr>
          <w:rFonts w:ascii="Verdana" w:hAnsi="Verdana"/>
        </w:rPr>
      </w:pPr>
    </w:p>
    <w:p w14:paraId="406EBC5F" w14:textId="14F1A33C" w:rsidR="00F13662" w:rsidRPr="00D3783A" w:rsidRDefault="00F13662" w:rsidP="00756EB2">
      <w:pPr>
        <w:rPr>
          <w:rFonts w:ascii="Verdana" w:hAnsi="Verdana"/>
          <w:i/>
          <w:color w:val="00565B"/>
        </w:rPr>
      </w:pPr>
      <w:r w:rsidRPr="00D3783A">
        <w:rPr>
          <w:rFonts w:ascii="Verdana" w:hAnsi="Verdana"/>
          <w:i/>
          <w:color w:val="00565B"/>
        </w:rPr>
        <w:t xml:space="preserve">“Effective deinstitutionalization requires a systemic approach, in which the transformation of residential institutional services is only one element of a wider </w:t>
      </w:r>
      <w:r w:rsidRPr="00D3783A">
        <w:rPr>
          <w:rFonts w:ascii="Verdana" w:hAnsi="Verdana"/>
          <w:i/>
          <w:color w:val="00565B"/>
        </w:rPr>
        <w:lastRenderedPageBreak/>
        <w:t>change in areas such as health care, rehabilitation, support services, education and employment, as well as in the societal perception of disability.”</w:t>
      </w:r>
    </w:p>
    <w:p w14:paraId="0589B04E" w14:textId="7AA07FB6" w:rsidR="00F13662" w:rsidRPr="00D3783A" w:rsidRDefault="00F13662" w:rsidP="002C3ACE">
      <w:pPr>
        <w:rPr>
          <w:rFonts w:ascii="Verdana" w:hAnsi="Verdana"/>
          <w:i/>
          <w:sz w:val="18"/>
          <w:szCs w:val="18"/>
        </w:rPr>
      </w:pPr>
      <w:r w:rsidRPr="00D3783A">
        <w:rPr>
          <w:rFonts w:ascii="Verdana" w:hAnsi="Verdana"/>
          <w:i/>
          <w:sz w:val="18"/>
          <w:szCs w:val="18"/>
        </w:rPr>
        <w:t>United Nations General Assembly (2014), Thematic study on the right of persons with disabilities to live independently and be included in the community: report of the Office of the United Nations High Commissioner for Human Rights, A/HRC/28/37, 12 December 2014, para. 25</w:t>
      </w:r>
    </w:p>
    <w:p w14:paraId="41383106" w14:textId="77777777" w:rsidR="003445D9" w:rsidRDefault="003445D9" w:rsidP="002C3ACE">
      <w:pPr>
        <w:rPr>
          <w:rFonts w:ascii="Verdana" w:hAnsi="Verdana"/>
        </w:rPr>
      </w:pPr>
    </w:p>
    <w:p w14:paraId="0B44F9BA" w14:textId="23BD8A2C" w:rsidR="00F13662" w:rsidRPr="00F43F87" w:rsidRDefault="00F13662" w:rsidP="002C3ACE">
      <w:pPr>
        <w:rPr>
          <w:rFonts w:ascii="Verdana" w:hAnsi="Verdana"/>
        </w:rPr>
      </w:pPr>
      <w:r w:rsidRPr="00F43F87">
        <w:rPr>
          <w:rFonts w:ascii="Verdana" w:hAnsi="Verdana"/>
        </w:rPr>
        <w:t>The absence of coordination can be a major barrier to the implementation of effective deinstitutionalisation. For example, it can result in uneven provision of services, so that persons with disabilities in some regions or municipalities benefit from a greater variety or higher quality of services than individuals in other areas. Moreover, it can create gaps in service provision, leaving persons with disabilities without a particular service, for example access to accessible housing or appropriate medical care. This would hinder their transition to living in the community.</w:t>
      </w:r>
    </w:p>
    <w:p w14:paraId="433BB0AA" w14:textId="0858E3D2" w:rsidR="00F13662" w:rsidRPr="00F43F87" w:rsidRDefault="00F13662" w:rsidP="002C3ACE">
      <w:pPr>
        <w:rPr>
          <w:rFonts w:ascii="Verdana" w:hAnsi="Verdana"/>
        </w:rPr>
      </w:pPr>
      <w:r w:rsidRPr="00F43F87">
        <w:rPr>
          <w:rFonts w:ascii="Verdana" w:hAnsi="Verdana"/>
        </w:rPr>
        <w:t xml:space="preserve">Both the </w:t>
      </w:r>
      <w:r w:rsidR="0031362B" w:rsidRPr="00F43F87">
        <w:rPr>
          <w:rFonts w:ascii="Verdana" w:hAnsi="Verdana"/>
        </w:rPr>
        <w:t>CRPD </w:t>
      </w:r>
      <w:r w:rsidRPr="00F43F87">
        <w:rPr>
          <w:rFonts w:ascii="Verdana" w:hAnsi="Verdana"/>
        </w:rPr>
        <w:t xml:space="preserve">itself and the </w:t>
      </w:r>
      <w:r w:rsidR="0031362B" w:rsidRPr="00F43F87">
        <w:rPr>
          <w:rFonts w:ascii="Verdana" w:hAnsi="Verdana"/>
        </w:rPr>
        <w:t>CRPD </w:t>
      </w:r>
      <w:r w:rsidRPr="00F43F87">
        <w:rPr>
          <w:rFonts w:ascii="Verdana" w:hAnsi="Verdana"/>
        </w:rPr>
        <w:t>Committee address the question of vertical coordination between different levels of national governance structures.</w:t>
      </w:r>
      <w:r w:rsidRPr="00F43F87">
        <w:rPr>
          <w:rFonts w:ascii="Verdana" w:hAnsi="Verdana"/>
          <w:lang w:bidi="en-US"/>
        </w:rPr>
        <w:t xml:space="preserve"> Article 4 (5) of the </w:t>
      </w:r>
      <w:r w:rsidR="0031362B" w:rsidRPr="00F43F87">
        <w:rPr>
          <w:rFonts w:ascii="Verdana" w:hAnsi="Verdana"/>
          <w:lang w:bidi="en-US"/>
        </w:rPr>
        <w:t>CRPD </w:t>
      </w:r>
      <w:r w:rsidRPr="00F43F87">
        <w:rPr>
          <w:rFonts w:ascii="Verdana" w:hAnsi="Verdana"/>
          <w:lang w:bidi="en-US"/>
        </w:rPr>
        <w:t xml:space="preserve">recalls that the “Convention extend[s] to all parts of federal states without any limitations or exceptions.” The </w:t>
      </w:r>
      <w:r w:rsidR="0031362B" w:rsidRPr="00F43F87">
        <w:rPr>
          <w:rFonts w:ascii="Verdana" w:hAnsi="Verdana"/>
          <w:lang w:bidi="en-US"/>
        </w:rPr>
        <w:t>CRPD </w:t>
      </w:r>
      <w:r w:rsidRPr="00F43F87">
        <w:rPr>
          <w:rFonts w:ascii="Verdana" w:hAnsi="Verdana"/>
          <w:lang w:bidi="en-US"/>
        </w:rPr>
        <w:t xml:space="preserve">Committee has expressed concerns about the implementation of this provision in its assessment of several Member States’ implementation of the convention. In its concluding observations on </w:t>
      </w:r>
      <w:r w:rsidRPr="00F43F87">
        <w:rPr>
          <w:rFonts w:ascii="Verdana" w:hAnsi="Verdana"/>
          <w:b/>
          <w:lang w:bidi="en-US"/>
        </w:rPr>
        <w:t>Austria</w:t>
      </w:r>
      <w:r w:rsidRPr="00F43F87">
        <w:rPr>
          <w:rFonts w:ascii="Verdana" w:hAnsi="Verdana"/>
          <w:lang w:bidi="en-US"/>
        </w:rPr>
        <w:t xml:space="preserve">, for example, the </w:t>
      </w:r>
      <w:r w:rsidR="0031362B" w:rsidRPr="00F43F87">
        <w:rPr>
          <w:rFonts w:ascii="Verdana" w:hAnsi="Verdana"/>
          <w:lang w:bidi="en-US"/>
        </w:rPr>
        <w:t>CRPD </w:t>
      </w:r>
      <w:r w:rsidRPr="00F43F87">
        <w:rPr>
          <w:rFonts w:ascii="Verdana" w:hAnsi="Verdana"/>
          <w:lang w:bidi="en-US"/>
        </w:rPr>
        <w:t>Committee raised the concern that “</w:t>
      </w:r>
      <w:r w:rsidRPr="00F43F87">
        <w:rPr>
          <w:rFonts w:ascii="Verdana" w:hAnsi="Verdana"/>
        </w:rPr>
        <w:t xml:space="preserve">a federal system of government […] has led to undue fragmentation of policy, especially as the </w:t>
      </w:r>
      <w:r w:rsidRPr="00F43F87">
        <w:rPr>
          <w:rFonts w:ascii="Verdana" w:hAnsi="Verdana"/>
          <w:i/>
        </w:rPr>
        <w:t>Länder</w:t>
      </w:r>
      <w:r w:rsidRPr="00F43F87">
        <w:rPr>
          <w:rFonts w:ascii="Verdana" w:hAnsi="Verdana"/>
        </w:rPr>
        <w:t xml:space="preserve"> (regions) are the providers of social services.”</w:t>
      </w:r>
      <w:r w:rsidRPr="00F43F87">
        <w:rPr>
          <w:rStyle w:val="EndnoteReference"/>
          <w:rFonts w:ascii="Verdana" w:hAnsi="Verdana"/>
        </w:rPr>
        <w:endnoteReference w:id="84"/>
      </w:r>
      <w:r w:rsidRPr="00F43F87">
        <w:rPr>
          <w:rFonts w:ascii="Verdana" w:hAnsi="Verdana"/>
        </w:rPr>
        <w:t xml:space="preserve"> More generally, it urged </w:t>
      </w:r>
      <w:r w:rsidRPr="00F43F87">
        <w:rPr>
          <w:rFonts w:ascii="Verdana" w:hAnsi="Verdana"/>
          <w:b/>
        </w:rPr>
        <w:t>Germany</w:t>
      </w:r>
      <w:r w:rsidRPr="00F43F87">
        <w:rPr>
          <w:rFonts w:ascii="Verdana" w:hAnsi="Verdana"/>
        </w:rPr>
        <w:t xml:space="preserve"> to “ensure that federal, Land and local authorities are aware of the rights set out in the Convention and of their duty to effectively ensure the implementation of those rights.”</w:t>
      </w:r>
      <w:r w:rsidRPr="00F43F87">
        <w:rPr>
          <w:rStyle w:val="EndnoteReference"/>
          <w:rFonts w:ascii="Verdana" w:hAnsi="Verdana"/>
        </w:rPr>
        <w:endnoteReference w:id="85"/>
      </w:r>
    </w:p>
    <w:p w14:paraId="07ED1D73" w14:textId="02192CED" w:rsidR="00F13662" w:rsidRPr="00F43F87" w:rsidRDefault="00F13662" w:rsidP="002C3ACE">
      <w:pPr>
        <w:rPr>
          <w:rFonts w:ascii="Verdana" w:hAnsi="Verdana"/>
        </w:rPr>
      </w:pPr>
      <w:r w:rsidRPr="00F43F87">
        <w:rPr>
          <w:rFonts w:ascii="Verdana" w:hAnsi="Verdana"/>
        </w:rPr>
        <w:t xml:space="preserve">Member States have addressed the issue of ensuring such vertical coordination in different ways, according to evidence that FRA has collected. Some Member States have set out vertical coordination in legal instruments. In </w:t>
      </w:r>
      <w:r w:rsidRPr="00F43F87">
        <w:rPr>
          <w:rFonts w:ascii="Verdana" w:hAnsi="Verdana"/>
          <w:b/>
        </w:rPr>
        <w:t>Slovakia</w:t>
      </w:r>
      <w:r w:rsidRPr="00F43F87">
        <w:rPr>
          <w:rFonts w:ascii="Verdana" w:hAnsi="Verdana"/>
        </w:rPr>
        <w:t>, for example, the Act on Social Services requires state bodies such as offices of labour, social affairs and family, health care providers and schools to cooperate with towns, self-governing regions and the Ministry.</w:t>
      </w:r>
      <w:r w:rsidRPr="00F43F87">
        <w:rPr>
          <w:rStyle w:val="EndnoteReference"/>
          <w:rFonts w:ascii="Verdana" w:hAnsi="Verdana"/>
        </w:rPr>
        <w:endnoteReference w:id="86"/>
      </w:r>
      <w:r w:rsidRPr="00F43F87">
        <w:rPr>
          <w:rFonts w:ascii="Verdana" w:hAnsi="Verdana"/>
        </w:rPr>
        <w:t xml:space="preserve"> Municipalities in </w:t>
      </w:r>
      <w:r w:rsidRPr="00F43F87">
        <w:rPr>
          <w:rFonts w:ascii="Verdana" w:hAnsi="Verdana"/>
          <w:b/>
        </w:rPr>
        <w:t>Sweden</w:t>
      </w:r>
      <w:r w:rsidRPr="00F43F87">
        <w:rPr>
          <w:rFonts w:ascii="Verdana" w:hAnsi="Verdana"/>
        </w:rPr>
        <w:t xml:space="preserve"> have a legal duty to cooperate with their county council (</w:t>
      </w:r>
      <w:r w:rsidRPr="00F43F87">
        <w:rPr>
          <w:rFonts w:ascii="Verdana" w:hAnsi="Verdana"/>
          <w:i/>
        </w:rPr>
        <w:t>Landsting</w:t>
      </w:r>
      <w:r w:rsidRPr="00F43F87">
        <w:rPr>
          <w:rFonts w:ascii="Verdana" w:hAnsi="Verdana"/>
          <w:sz w:val="20"/>
          <w:szCs w:val="20"/>
          <w:lang w:bidi="en-US"/>
        </w:rPr>
        <w:t>)</w:t>
      </w:r>
      <w:r w:rsidRPr="00F43F87">
        <w:rPr>
          <w:rFonts w:ascii="Verdana" w:hAnsi="Verdana"/>
        </w:rPr>
        <w:t>, the social insurance office (</w:t>
      </w:r>
      <w:r w:rsidRPr="00F43F87">
        <w:rPr>
          <w:rFonts w:ascii="Verdana" w:hAnsi="Verdana"/>
          <w:i/>
        </w:rPr>
        <w:t>Försäkringskassan</w:t>
      </w:r>
      <w:r w:rsidRPr="00F43F87">
        <w:rPr>
          <w:rFonts w:ascii="Verdana" w:hAnsi="Verdana"/>
        </w:rPr>
        <w:t>) and the employment office (</w:t>
      </w:r>
      <w:r w:rsidRPr="00F43F87">
        <w:rPr>
          <w:rFonts w:ascii="Verdana" w:hAnsi="Verdana"/>
          <w:i/>
        </w:rPr>
        <w:t>Arbetsförmedlingen</w:t>
      </w:r>
      <w:r w:rsidRPr="00F43F87">
        <w:rPr>
          <w:rFonts w:ascii="Verdana" w:hAnsi="Verdana"/>
        </w:rPr>
        <w:t>) to effectively manage available resources.</w:t>
      </w:r>
      <w:r w:rsidRPr="00F43F87">
        <w:rPr>
          <w:rStyle w:val="EndnoteReference"/>
          <w:rFonts w:ascii="Verdana" w:hAnsi="Verdana"/>
        </w:rPr>
        <w:endnoteReference w:id="87"/>
      </w:r>
      <w:r w:rsidRPr="00F43F87">
        <w:rPr>
          <w:rFonts w:ascii="Verdana" w:hAnsi="Verdana"/>
        </w:rPr>
        <w:t xml:space="preserve"> In the </w:t>
      </w:r>
      <w:r w:rsidRPr="00F43F87">
        <w:rPr>
          <w:rFonts w:ascii="Verdana" w:hAnsi="Verdana"/>
          <w:b/>
        </w:rPr>
        <w:t>United Kingdom</w:t>
      </w:r>
      <w:r w:rsidRPr="00F43F87">
        <w:rPr>
          <w:rFonts w:ascii="Verdana" w:hAnsi="Verdana"/>
        </w:rPr>
        <w:t>, the Care Act 2014 requires the local authorities to ensure cooperation with relevant partners, who are, in turn, required to cooperate with the authority.</w:t>
      </w:r>
      <w:r w:rsidRPr="00F43F87">
        <w:rPr>
          <w:rStyle w:val="EndnoteReference"/>
          <w:rFonts w:ascii="Verdana" w:hAnsi="Verdana"/>
        </w:rPr>
        <w:endnoteReference w:id="88"/>
      </w:r>
    </w:p>
    <w:p w14:paraId="45847032" w14:textId="12F34B23" w:rsidR="00F13662" w:rsidRPr="00F43F87" w:rsidRDefault="00F13662" w:rsidP="002C3ACE">
      <w:pPr>
        <w:rPr>
          <w:rFonts w:ascii="Verdana" w:hAnsi="Verdana"/>
          <w:lang w:bidi="en-US"/>
        </w:rPr>
      </w:pPr>
      <w:r w:rsidRPr="00F43F87">
        <w:rPr>
          <w:rFonts w:ascii="Verdana" w:hAnsi="Verdana"/>
        </w:rPr>
        <w:t xml:space="preserve">Other Member States highlighted the importance of vertical coordination by setting it out as policy priorities in relevant policy documents. The </w:t>
      </w:r>
      <w:r w:rsidRPr="00F43F87">
        <w:rPr>
          <w:rFonts w:ascii="Verdana" w:hAnsi="Verdana"/>
          <w:b/>
        </w:rPr>
        <w:t>Croatian</w:t>
      </w:r>
      <w:r w:rsidRPr="00F43F87">
        <w:rPr>
          <w:rFonts w:ascii="Verdana" w:hAnsi="Verdana"/>
        </w:rPr>
        <w:t xml:space="preserve"> </w:t>
      </w:r>
      <w:r w:rsidRPr="00F43F87">
        <w:rPr>
          <w:rFonts w:ascii="Verdana" w:hAnsi="Verdana"/>
          <w:bCs/>
          <w:lang w:bidi="en-US"/>
        </w:rPr>
        <w:t>Strategy for Social Welfare Development, for instance, specifically calls for the</w:t>
      </w:r>
      <w:r w:rsidRPr="00F43F87">
        <w:rPr>
          <w:rFonts w:ascii="Verdana" w:hAnsi="Verdana"/>
          <w:lang w:bidi="en-US"/>
        </w:rPr>
        <w:t xml:space="preserve"> strengthening of horizontal and vertical coordination between all stakeholders.</w:t>
      </w:r>
      <w:r w:rsidRPr="00F43F87">
        <w:rPr>
          <w:rStyle w:val="EndnoteReference"/>
          <w:rFonts w:ascii="Verdana" w:hAnsi="Verdana"/>
          <w:bCs/>
          <w:lang w:bidi="en-US"/>
        </w:rPr>
        <w:endnoteReference w:id="89"/>
      </w:r>
      <w:r w:rsidRPr="00F43F87">
        <w:rPr>
          <w:rFonts w:ascii="Verdana" w:hAnsi="Verdana"/>
          <w:lang w:bidi="en-US"/>
        </w:rPr>
        <w:t xml:space="preserve"> However, the country’s </w:t>
      </w:r>
      <w:r w:rsidRPr="00F43F87">
        <w:rPr>
          <w:rFonts w:ascii="Verdana" w:hAnsi="Verdana"/>
        </w:rPr>
        <w:t xml:space="preserve">Disability Ombudsman, which is responsible for monitoring implementation of the </w:t>
      </w:r>
      <w:r w:rsidR="0031362B" w:rsidRPr="00F43F87">
        <w:rPr>
          <w:rFonts w:ascii="Verdana" w:hAnsi="Verdana"/>
        </w:rPr>
        <w:t>CRPD </w:t>
      </w:r>
      <w:r w:rsidRPr="00F43F87">
        <w:rPr>
          <w:rFonts w:ascii="Verdana" w:hAnsi="Verdana"/>
        </w:rPr>
        <w:t>under Article 33 (2) of the convention, has raised concerns that</w:t>
      </w:r>
      <w:r w:rsidRPr="00F43F87">
        <w:rPr>
          <w:rFonts w:ascii="Verdana" w:hAnsi="Verdana"/>
          <w:lang w:bidi="en-US"/>
        </w:rPr>
        <w:t xml:space="preserve"> services are not effectively coordinated or monitored in </w:t>
      </w:r>
      <w:r w:rsidRPr="00F43F87">
        <w:rPr>
          <w:rFonts w:ascii="Verdana" w:hAnsi="Verdana"/>
          <w:lang w:bidi="en-US"/>
        </w:rPr>
        <w:lastRenderedPageBreak/>
        <w:t>practice.</w:t>
      </w:r>
      <w:r w:rsidRPr="00F43F87">
        <w:rPr>
          <w:rFonts w:ascii="Verdana" w:hAnsi="Verdana"/>
          <w:vertAlign w:val="superscript"/>
        </w:rPr>
        <w:endnoteReference w:id="90"/>
      </w:r>
      <w:r w:rsidRPr="00F43F87">
        <w:rPr>
          <w:rFonts w:ascii="Verdana" w:hAnsi="Verdana"/>
          <w:lang w:bidi="en-US"/>
        </w:rPr>
        <w:t xml:space="preserve"> This can lead to discrepancies in the availability of services for persons with disabilities. For example, some services are delivered by several providers while others are non-existent in certain areas. In </w:t>
      </w:r>
      <w:r w:rsidRPr="00F43F87">
        <w:rPr>
          <w:rFonts w:ascii="Verdana" w:hAnsi="Verdana"/>
          <w:b/>
          <w:lang w:bidi="en-US"/>
        </w:rPr>
        <w:t>Greece</w:t>
      </w:r>
      <w:r w:rsidRPr="00F43F87">
        <w:rPr>
          <w:rFonts w:ascii="Verdana" w:hAnsi="Verdana"/>
          <w:lang w:bidi="en-US"/>
        </w:rPr>
        <w:t>, the National Strategic Framework on Social integration identifies coordination of integration policies as a policy priority for 2015–2020.</w:t>
      </w:r>
      <w:r w:rsidRPr="00F43F87">
        <w:rPr>
          <w:rStyle w:val="EndnoteReference"/>
          <w:rFonts w:ascii="Verdana" w:hAnsi="Verdana"/>
          <w:lang w:bidi="en-US"/>
        </w:rPr>
        <w:endnoteReference w:id="91"/>
      </w:r>
    </w:p>
    <w:p w14:paraId="13FC95C7" w14:textId="4DDC8BD0" w:rsidR="00F13662" w:rsidRPr="00F43F87" w:rsidRDefault="00F13662" w:rsidP="002C3ACE">
      <w:pPr>
        <w:rPr>
          <w:rFonts w:ascii="Verdana" w:hAnsi="Verdana"/>
        </w:rPr>
      </w:pPr>
      <w:r w:rsidRPr="00F43F87">
        <w:rPr>
          <w:rFonts w:ascii="Verdana" w:hAnsi="Verdana"/>
        </w:rPr>
        <w:t xml:space="preserve">Others have set up dedicated coordination mechanisms. The 23 federal state agencies responsible for community-based services in </w:t>
      </w:r>
      <w:r w:rsidRPr="00F43F87">
        <w:rPr>
          <w:rFonts w:ascii="Verdana" w:hAnsi="Verdana"/>
          <w:b/>
        </w:rPr>
        <w:t>Germany</w:t>
      </w:r>
      <w:r w:rsidRPr="00F43F87">
        <w:rPr>
          <w:rFonts w:ascii="Verdana" w:hAnsi="Verdana"/>
        </w:rPr>
        <w:t>, for example, come together in a Federal Working Gr</w:t>
      </w:r>
      <w:r w:rsidR="00BB3D69">
        <w:rPr>
          <w:rFonts w:ascii="Verdana" w:hAnsi="Verdana"/>
        </w:rPr>
        <w:t>oup of Welfare </w:t>
      </w:r>
      <w:r w:rsidRPr="00F43F87">
        <w:rPr>
          <w:rFonts w:ascii="Verdana" w:hAnsi="Verdana"/>
        </w:rPr>
        <w:t>Agencies (</w:t>
      </w:r>
      <w:r w:rsidRPr="00F43F87">
        <w:rPr>
          <w:rFonts w:ascii="Verdana" w:hAnsi="Verdana"/>
          <w:i/>
        </w:rPr>
        <w:t>Bundesarbeitsgemeinschaft der überörtlichen Träger der Sozialhilfe</w:t>
      </w:r>
      <w:r w:rsidRPr="00F43F87">
        <w:rPr>
          <w:rFonts w:ascii="Verdana" w:hAnsi="Verdana"/>
        </w:rPr>
        <w:t>) responsible for representing, coordinating and advancing the integration of assistance services.</w:t>
      </w:r>
    </w:p>
    <w:p w14:paraId="47801E1B" w14:textId="5F7C0A60" w:rsidR="00F13662" w:rsidRPr="00F43F87" w:rsidRDefault="00F13662" w:rsidP="002C3ACE">
      <w:pPr>
        <w:rPr>
          <w:rFonts w:ascii="Verdana" w:hAnsi="Verdana"/>
        </w:rPr>
      </w:pPr>
      <w:r w:rsidRPr="00F43F87">
        <w:rPr>
          <w:rFonts w:ascii="Verdana" w:hAnsi="Verdana"/>
        </w:rPr>
        <w:t xml:space="preserve">The </w:t>
      </w:r>
      <w:r w:rsidR="0031362B" w:rsidRPr="00F43F87">
        <w:rPr>
          <w:rFonts w:ascii="Verdana" w:hAnsi="Verdana"/>
        </w:rPr>
        <w:t>CRPD </w:t>
      </w:r>
      <w:r w:rsidRPr="00F43F87">
        <w:rPr>
          <w:rFonts w:ascii="Verdana" w:hAnsi="Verdana"/>
        </w:rPr>
        <w:t xml:space="preserve">Committee’s call for coordination across “all levels and sectors of government” to achieve deinstitutionalisation is explored in greater depth by the OHCHR and the </w:t>
      </w:r>
      <w:r w:rsidR="0031362B" w:rsidRPr="00F43F87">
        <w:rPr>
          <w:rFonts w:ascii="Verdana" w:hAnsi="Verdana"/>
        </w:rPr>
        <w:t>UN </w:t>
      </w:r>
      <w:r w:rsidRPr="00F43F87">
        <w:rPr>
          <w:rFonts w:ascii="Verdana" w:hAnsi="Verdana"/>
        </w:rPr>
        <w:t>Special Rapporteur on the rights of persons with disabilities.</w:t>
      </w:r>
      <w:r w:rsidRPr="00F43F87">
        <w:rPr>
          <w:rStyle w:val="EndnoteReference"/>
          <w:rFonts w:ascii="Verdana" w:hAnsi="Verdana"/>
        </w:rPr>
        <w:endnoteReference w:id="92"/>
      </w:r>
      <w:r w:rsidRPr="00F43F87">
        <w:rPr>
          <w:rFonts w:ascii="Verdana" w:hAnsi="Verdana"/>
        </w:rPr>
        <w:t xml:space="preserve"> The OHCHR highlighted the particular importance of support during the transition from institutional to community living. It emphasised that “such support should be based on effective coordination among health-care and social-service providers, and the housing sector.”</w:t>
      </w:r>
      <w:r w:rsidRPr="00F43F87">
        <w:rPr>
          <w:rFonts w:ascii="Verdana" w:hAnsi="Verdana"/>
          <w:vertAlign w:val="superscript"/>
        </w:rPr>
        <w:endnoteReference w:id="93"/>
      </w:r>
      <w:r w:rsidRPr="00F43F87">
        <w:rPr>
          <w:rFonts w:ascii="Verdana" w:hAnsi="Verdana"/>
          <w:vertAlign w:val="superscript"/>
        </w:rPr>
        <w:t xml:space="preserve"> </w:t>
      </w:r>
      <w:r w:rsidRPr="00F43F87">
        <w:rPr>
          <w:rFonts w:ascii="Verdana" w:hAnsi="Verdana"/>
        </w:rPr>
        <w:t>More generally, the Special Rapporteur called on governments to “consider establishing a comprehensive system to coordinate the effective access to support of persons with disabilities”, which covers “all support needs across all sectors of society”.</w:t>
      </w:r>
      <w:r w:rsidRPr="00F43F87">
        <w:rPr>
          <w:rStyle w:val="EndnoteReference"/>
          <w:rFonts w:ascii="Verdana" w:hAnsi="Verdana"/>
        </w:rPr>
        <w:endnoteReference w:id="94"/>
      </w:r>
    </w:p>
    <w:p w14:paraId="648CF7D9" w14:textId="751776F3" w:rsidR="00F13662" w:rsidRPr="00F43F87" w:rsidRDefault="00F13662" w:rsidP="002C3ACE">
      <w:pPr>
        <w:rPr>
          <w:rFonts w:ascii="Verdana" w:hAnsi="Verdana"/>
        </w:rPr>
      </w:pPr>
      <w:r w:rsidRPr="00F43F87">
        <w:rPr>
          <w:rFonts w:ascii="Verdana" w:hAnsi="Verdana"/>
        </w:rPr>
        <w:t xml:space="preserve">Nevertheless, much fewer data are available on how Member States aim to ensure horizontal coordination between different sectors of public services in implementing deinstitutionalisation. In addition to their provisions on vertical coordination mentioned above, the </w:t>
      </w:r>
      <w:r w:rsidRPr="00F43F87">
        <w:rPr>
          <w:rFonts w:ascii="Verdana" w:hAnsi="Verdana"/>
          <w:b/>
        </w:rPr>
        <w:t>Greek</w:t>
      </w:r>
      <w:r w:rsidRPr="00F43F87">
        <w:rPr>
          <w:rFonts w:ascii="Verdana" w:hAnsi="Verdana"/>
        </w:rPr>
        <w:t xml:space="preserve"> and </w:t>
      </w:r>
      <w:r w:rsidRPr="00F43F87">
        <w:rPr>
          <w:rFonts w:ascii="Verdana" w:hAnsi="Verdana"/>
          <w:b/>
        </w:rPr>
        <w:t>Croatian</w:t>
      </w:r>
      <w:r w:rsidRPr="00F43F87">
        <w:rPr>
          <w:rFonts w:ascii="Verdana" w:hAnsi="Verdana"/>
          <w:vertAlign w:val="superscript"/>
        </w:rPr>
        <w:endnoteReference w:id="95"/>
      </w:r>
      <w:r w:rsidRPr="00F43F87">
        <w:rPr>
          <w:rFonts w:ascii="Verdana" w:hAnsi="Verdana"/>
          <w:b/>
        </w:rPr>
        <w:t xml:space="preserve"> </w:t>
      </w:r>
      <w:r w:rsidRPr="00F43F87">
        <w:rPr>
          <w:rFonts w:ascii="Verdana" w:hAnsi="Verdana"/>
        </w:rPr>
        <w:t>strategies that cover deinstitutionalisation include provisions on strengthening cooperation across different sectors. For example, the Greek National Strategic Framework on Social integration includes setting up a national mechanism for the horizontal monitoring and coordination of policies.</w:t>
      </w:r>
      <w:r w:rsidRPr="00F43F87">
        <w:rPr>
          <w:rFonts w:ascii="Verdana" w:hAnsi="Verdana"/>
          <w:vertAlign w:val="superscript"/>
        </w:rPr>
        <w:endnoteReference w:id="96"/>
      </w:r>
      <w:r w:rsidRPr="00F43F87">
        <w:rPr>
          <w:rFonts w:ascii="Verdana" w:hAnsi="Verdana"/>
          <w:vertAlign w:val="superscript"/>
        </w:rPr>
        <w:t xml:space="preserve"> </w:t>
      </w:r>
      <w:r w:rsidRPr="00F43F87">
        <w:rPr>
          <w:rFonts w:ascii="Verdana" w:hAnsi="Verdana"/>
        </w:rPr>
        <w:t>Examples of more informal coordination at the practical and policy levels are likely to be more widespread.</w:t>
      </w:r>
    </w:p>
    <w:p w14:paraId="37EB2734" w14:textId="5FEE0EA5" w:rsidR="00F13662" w:rsidRPr="00F43F87" w:rsidRDefault="00F13662" w:rsidP="002C3ACE">
      <w:pPr>
        <w:rPr>
          <w:rFonts w:ascii="Verdana" w:hAnsi="Verdana"/>
        </w:rPr>
      </w:pPr>
      <w:r w:rsidRPr="00F43F87">
        <w:rPr>
          <w:rFonts w:ascii="Verdana" w:hAnsi="Verdana"/>
        </w:rPr>
        <w:t xml:space="preserve">Tied closely to coordination among and between different levels and sectors of government is the issue of transferability of services across different administrative areas. Exercising the right to choose one’s place of residence and access social services on an equal basis with others requires that persons with disabilities can change their place of residence, for example by deciding to move from one town to another. The </w:t>
      </w:r>
      <w:r w:rsidR="0031362B" w:rsidRPr="00F43F87">
        <w:rPr>
          <w:rFonts w:ascii="Verdana" w:hAnsi="Verdana"/>
        </w:rPr>
        <w:t>CRPD </w:t>
      </w:r>
      <w:r w:rsidRPr="00F43F87">
        <w:rPr>
          <w:rFonts w:ascii="Verdana" w:hAnsi="Verdana"/>
        </w:rPr>
        <w:t>Committee addresses part of this issue in its General Comment on Article 19, expressing concern that “inappropriate” decentralisation of service provision could result in “disparities between local authorities and unequal chances of living independently within the community.”</w:t>
      </w:r>
      <w:r w:rsidRPr="00F43F87">
        <w:rPr>
          <w:rStyle w:val="EndnoteReference"/>
          <w:rFonts w:ascii="Verdana" w:hAnsi="Verdana"/>
        </w:rPr>
        <w:endnoteReference w:id="97"/>
      </w:r>
    </w:p>
    <w:p w14:paraId="21E5CBA2" w14:textId="32F14349" w:rsidR="00F13662" w:rsidRPr="00F43F87" w:rsidRDefault="00F13662" w:rsidP="002C3ACE">
      <w:pPr>
        <w:rPr>
          <w:rFonts w:ascii="Verdana" w:hAnsi="Verdana"/>
        </w:rPr>
      </w:pPr>
      <w:r w:rsidRPr="00F43F87">
        <w:rPr>
          <w:rFonts w:ascii="Verdana" w:hAnsi="Verdana"/>
        </w:rPr>
        <w:t xml:space="preserve">The transfer of services across different administrative areas is not regulated in the majority of </w:t>
      </w:r>
      <w:r w:rsidR="0031362B" w:rsidRPr="00F43F87">
        <w:rPr>
          <w:rFonts w:ascii="Verdana" w:hAnsi="Verdana"/>
        </w:rPr>
        <w:t>EU </w:t>
      </w:r>
      <w:r w:rsidRPr="00F43F87">
        <w:rPr>
          <w:rFonts w:ascii="Verdana" w:hAnsi="Verdana"/>
        </w:rPr>
        <w:t xml:space="preserve">Member States, according to evidence that FRA collected as part of its human rights indicators on Article 19 of the CRPD. Only around one third of Member States, including </w:t>
      </w:r>
      <w:r w:rsidRPr="00F43F87">
        <w:rPr>
          <w:rFonts w:ascii="Verdana" w:hAnsi="Verdana"/>
          <w:b/>
        </w:rPr>
        <w:t>Belgium</w:t>
      </w:r>
      <w:r w:rsidRPr="00F43F87">
        <w:rPr>
          <w:rFonts w:ascii="Verdana" w:hAnsi="Verdana"/>
        </w:rPr>
        <w:t xml:space="preserve">, </w:t>
      </w:r>
      <w:r w:rsidRPr="00F43F87">
        <w:rPr>
          <w:rFonts w:ascii="Verdana" w:hAnsi="Verdana"/>
          <w:b/>
        </w:rPr>
        <w:t>Croatia</w:t>
      </w:r>
      <w:r w:rsidRPr="00F43F87">
        <w:rPr>
          <w:rFonts w:ascii="Verdana" w:hAnsi="Verdana"/>
        </w:rPr>
        <w:t xml:space="preserve">, </w:t>
      </w:r>
      <w:r w:rsidRPr="00F43F87">
        <w:rPr>
          <w:rFonts w:ascii="Verdana" w:hAnsi="Verdana"/>
          <w:b/>
        </w:rPr>
        <w:t>Denmark</w:t>
      </w:r>
      <w:r w:rsidRPr="00F43F87">
        <w:rPr>
          <w:rFonts w:ascii="Verdana" w:hAnsi="Verdana"/>
        </w:rPr>
        <w:t xml:space="preserve">, </w:t>
      </w:r>
      <w:r w:rsidRPr="00F43F87">
        <w:rPr>
          <w:rFonts w:ascii="Verdana" w:hAnsi="Verdana"/>
          <w:b/>
        </w:rPr>
        <w:t>Estonia</w:t>
      </w:r>
      <w:r w:rsidRPr="00F43F87">
        <w:rPr>
          <w:rFonts w:ascii="Verdana" w:hAnsi="Verdana"/>
        </w:rPr>
        <w:t xml:space="preserve">, </w:t>
      </w:r>
      <w:r w:rsidRPr="00F43F87">
        <w:rPr>
          <w:rFonts w:ascii="Verdana" w:hAnsi="Verdana"/>
          <w:b/>
        </w:rPr>
        <w:t>Finland</w:t>
      </w:r>
      <w:r w:rsidRPr="00F43F87">
        <w:rPr>
          <w:rFonts w:ascii="Verdana" w:hAnsi="Verdana"/>
        </w:rPr>
        <w:t xml:space="preserve">, </w:t>
      </w:r>
      <w:r w:rsidRPr="00F43F87">
        <w:rPr>
          <w:rFonts w:ascii="Verdana" w:hAnsi="Verdana"/>
          <w:b/>
        </w:rPr>
        <w:t>Germany</w:t>
      </w:r>
      <w:r w:rsidRPr="00F43F87">
        <w:rPr>
          <w:rFonts w:ascii="Verdana" w:hAnsi="Verdana"/>
        </w:rPr>
        <w:t xml:space="preserve">, </w:t>
      </w:r>
      <w:r w:rsidRPr="00F43F87">
        <w:rPr>
          <w:rFonts w:ascii="Verdana" w:hAnsi="Verdana"/>
          <w:b/>
        </w:rPr>
        <w:t>Sweden</w:t>
      </w:r>
      <w:r w:rsidRPr="00F43F87">
        <w:rPr>
          <w:rFonts w:ascii="Verdana" w:hAnsi="Verdana"/>
        </w:rPr>
        <w:t xml:space="preserve"> and the </w:t>
      </w:r>
      <w:r w:rsidRPr="00F43F87">
        <w:rPr>
          <w:rFonts w:ascii="Verdana" w:hAnsi="Verdana"/>
          <w:b/>
        </w:rPr>
        <w:t xml:space="preserve">United </w:t>
      </w:r>
      <w:r w:rsidRPr="00F43F87">
        <w:rPr>
          <w:rFonts w:ascii="Verdana" w:hAnsi="Verdana"/>
          <w:b/>
          <w:lang w:bidi="en-US"/>
        </w:rPr>
        <w:t>Kingdom</w:t>
      </w:r>
      <w:r w:rsidRPr="00F43F87">
        <w:rPr>
          <w:rFonts w:ascii="Verdana" w:hAnsi="Verdana"/>
          <w:lang w:bidi="en-US"/>
        </w:rPr>
        <w:t>,</w:t>
      </w:r>
      <w:r w:rsidRPr="00F43F87">
        <w:rPr>
          <w:rFonts w:ascii="Verdana" w:hAnsi="Verdana"/>
        </w:rPr>
        <w:t xml:space="preserve"> have </w:t>
      </w:r>
      <w:r w:rsidRPr="00F43F87">
        <w:rPr>
          <w:rFonts w:ascii="Verdana" w:hAnsi="Verdana"/>
          <w:lang w:bidi="en-US"/>
        </w:rPr>
        <w:t>specific provisions. In Denmark, for example, the former municipality</w:t>
      </w:r>
      <w:r w:rsidRPr="00F43F87">
        <w:rPr>
          <w:rFonts w:ascii="Verdana" w:hAnsi="Verdana"/>
        </w:rPr>
        <w:t xml:space="preserve"> of residence</w:t>
      </w:r>
      <w:r w:rsidRPr="00F43F87">
        <w:rPr>
          <w:rFonts w:ascii="Verdana" w:hAnsi="Verdana"/>
          <w:lang w:bidi="en-US"/>
        </w:rPr>
        <w:t xml:space="preserve"> </w:t>
      </w:r>
      <w:r w:rsidRPr="00F43F87">
        <w:rPr>
          <w:rFonts w:ascii="Verdana" w:hAnsi="Verdana"/>
          <w:lang w:bidi="en-US"/>
        </w:rPr>
        <w:lastRenderedPageBreak/>
        <w:t xml:space="preserve">continues to pay for personal assistance </w:t>
      </w:r>
      <w:r w:rsidRPr="00F43F87">
        <w:rPr>
          <w:rFonts w:ascii="Verdana" w:hAnsi="Verdana"/>
        </w:rPr>
        <w:t>until the new municipality decides on the individual’s eligibility.</w:t>
      </w:r>
      <w:r w:rsidRPr="00F43F87">
        <w:rPr>
          <w:rStyle w:val="EndnoteReference"/>
          <w:rFonts w:ascii="Verdana" w:hAnsi="Verdana"/>
        </w:rPr>
        <w:endnoteReference w:id="98"/>
      </w:r>
      <w:r w:rsidRPr="00F43F87">
        <w:rPr>
          <w:rFonts w:ascii="Verdana" w:hAnsi="Verdana"/>
        </w:rPr>
        <w:t xml:space="preserve"> In </w:t>
      </w:r>
      <w:r w:rsidRPr="00F43F87">
        <w:rPr>
          <w:rFonts w:ascii="Verdana" w:hAnsi="Verdana"/>
          <w:b/>
        </w:rPr>
        <w:t>Finland</w:t>
      </w:r>
      <w:r w:rsidRPr="00BB3D69">
        <w:rPr>
          <w:rFonts w:ascii="Verdana" w:hAnsi="Verdana"/>
        </w:rPr>
        <w:t>,</w:t>
      </w:r>
      <w:r w:rsidRPr="00F43F87">
        <w:rPr>
          <w:rFonts w:ascii="Verdana" w:hAnsi="Verdana"/>
        </w:rPr>
        <w:t xml:space="preserve"> persons with disabilities can apply for financial support from both the former and the new municipality of residence.</w:t>
      </w:r>
      <w:r w:rsidRPr="00F43F87">
        <w:rPr>
          <w:rStyle w:val="EndnoteReference"/>
          <w:rFonts w:ascii="Verdana" w:hAnsi="Verdana"/>
        </w:rPr>
        <w:endnoteReference w:id="99"/>
      </w:r>
      <w:r w:rsidRPr="00F43F87">
        <w:rPr>
          <w:rFonts w:ascii="Verdana" w:hAnsi="Verdana"/>
        </w:rPr>
        <w:t xml:space="preserve"> The former municipality is responsible for covering the costs of adjustments and devices in the new home if the person is not able to move until these are provided. If these adjustments and devices can be provided after the person has moved, the new municipality covers the costs.</w:t>
      </w:r>
    </w:p>
    <w:p w14:paraId="32116D99" w14:textId="3267031B" w:rsidR="00F13662" w:rsidRPr="00F43F87" w:rsidRDefault="00F13662" w:rsidP="002C3ACE">
      <w:pPr>
        <w:rPr>
          <w:rStyle w:val="CommentReference"/>
          <w:rFonts w:ascii="Verdana" w:hAnsi="Verdana"/>
        </w:rPr>
      </w:pPr>
      <w:r w:rsidRPr="00F43F87">
        <w:rPr>
          <w:rFonts w:ascii="Verdana" w:hAnsi="Verdana"/>
          <w:lang w:bidi="en-US"/>
        </w:rPr>
        <w:t xml:space="preserve">This possibility of transferring services across administrative regions is not, however, necessarily complemented by support to complete the necessary administrative processes. There are only a few isolated examples where cooperation between municipalities to realise the possibility to transfer services is regulated in greater detail, FRA data reveal. Similarly, only in a few cases is there a legal provision that ensures support for the person concerned during the transfer process. One example is the </w:t>
      </w:r>
      <w:r w:rsidRPr="00F43F87">
        <w:rPr>
          <w:rFonts w:ascii="Verdana" w:hAnsi="Verdana"/>
          <w:b/>
          <w:lang w:bidi="en-US"/>
        </w:rPr>
        <w:t xml:space="preserve">United Kingdom </w:t>
      </w:r>
      <w:r w:rsidRPr="00F43F87">
        <w:rPr>
          <w:rFonts w:ascii="Verdana" w:hAnsi="Verdana"/>
          <w:lang w:bidi="en-US"/>
        </w:rPr>
        <w:t>Care Act of 2014, which includes a provision for close cooperation between the municipalities that a person is moving from and to. This cooperation ensures that the individual’s needs are taken into account to the greatest possible extent.</w:t>
      </w:r>
      <w:r w:rsidRPr="00F43F87">
        <w:rPr>
          <w:rStyle w:val="EndnoteReference"/>
          <w:rFonts w:ascii="Verdana" w:hAnsi="Verdana"/>
          <w:lang w:bidi="en-US"/>
        </w:rPr>
        <w:endnoteReference w:id="100"/>
      </w:r>
    </w:p>
    <w:p w14:paraId="43AEC4DC" w14:textId="5C15863D" w:rsidR="00F13662" w:rsidRPr="00F43F87" w:rsidRDefault="00F13662" w:rsidP="002C3ACE">
      <w:pPr>
        <w:rPr>
          <w:rFonts w:ascii="Verdana" w:hAnsi="Verdana"/>
        </w:rPr>
      </w:pPr>
      <w:r w:rsidRPr="00F43F87">
        <w:rPr>
          <w:rFonts w:ascii="Verdana" w:hAnsi="Verdana"/>
        </w:rPr>
        <w:t>Ensuring access to a range of personalised community-based services that are inherent to effective deinstitutionalisation also requires that such services are sustainable over time. This is particularly relevant to services that may operate as part of specific programmes or pilot projects. They create valuable opportunities to develop innovative types of personalised support, but may end when the programme concludes. Such uncertainty and disruption can have a tremendous impact on the lives of people with disabilities, as the preliminary findings of FRA’s fieldwork research on the deinstitutionalisation process reveal.</w:t>
      </w:r>
      <w:r w:rsidRPr="00F43F87">
        <w:rPr>
          <w:rStyle w:val="EndnoteReference"/>
          <w:rFonts w:ascii="Verdana" w:hAnsi="Verdana"/>
        </w:rPr>
        <w:endnoteReference w:id="101"/>
      </w:r>
    </w:p>
    <w:p w14:paraId="20EC9710" w14:textId="74578362" w:rsidR="00BB3D69" w:rsidRPr="00BB3D69" w:rsidRDefault="00F13662" w:rsidP="00BB3D69">
      <w:pPr>
        <w:rPr>
          <w:rFonts w:ascii="Verdana" w:hAnsi="Verdana"/>
        </w:rPr>
      </w:pPr>
      <w:r w:rsidRPr="00F43F87">
        <w:rPr>
          <w:rFonts w:ascii="Verdana" w:hAnsi="Verdana"/>
        </w:rPr>
        <w:t xml:space="preserve">ESIF funding periods are time-bound. That can create risks to the sustainability of services created and operating with the help of European financing. For example, where ESIF funds contribute a large proportion of a service’s financing, Member States may struggle to cover the shortfall at the end of the funding period. Civil society organisations have raised concerns about the sustainability of ESIF-funded services – for example, in </w:t>
      </w:r>
      <w:r w:rsidRPr="00F43F87">
        <w:rPr>
          <w:rFonts w:ascii="Verdana" w:hAnsi="Verdana"/>
          <w:b/>
        </w:rPr>
        <w:t>Bulgaria</w:t>
      </w:r>
      <w:r w:rsidRPr="00F43F87">
        <w:rPr>
          <w:rStyle w:val="EndnoteReference"/>
          <w:rFonts w:ascii="Verdana" w:hAnsi="Verdana"/>
        </w:rPr>
        <w:endnoteReference w:id="102"/>
      </w:r>
      <w:r w:rsidRPr="00F43F87">
        <w:rPr>
          <w:rFonts w:ascii="Verdana" w:hAnsi="Verdana"/>
        </w:rPr>
        <w:t xml:space="preserve"> and </w:t>
      </w:r>
      <w:r w:rsidRPr="00F43F87">
        <w:rPr>
          <w:rFonts w:ascii="Verdana" w:hAnsi="Verdana"/>
          <w:b/>
        </w:rPr>
        <w:t>Slovakia</w:t>
      </w:r>
      <w:r w:rsidRPr="00F43F87">
        <w:rPr>
          <w:rFonts w:ascii="Verdana" w:hAnsi="Verdana"/>
        </w:rPr>
        <w:t>. In the report of its fact-finding visit to Slovakia on the use of ESIF for deinstitutionalisation, the Committee on Petitions of the European Parliament highlighted “the condition of sustainability of the deinstitutionalization projects”, and called for “exact follow-up to measure the sustainability level”.</w:t>
      </w:r>
      <w:r w:rsidRPr="00F43F87">
        <w:rPr>
          <w:rStyle w:val="EndnoteReference"/>
          <w:rFonts w:ascii="Verdana" w:hAnsi="Verdana"/>
        </w:rPr>
        <w:endnoteReference w:id="103"/>
      </w:r>
    </w:p>
    <w:p w14:paraId="007A8C73" w14:textId="77777777" w:rsidR="00BB3D69" w:rsidRDefault="00BB3D69" w:rsidP="00F61D76">
      <w:pPr>
        <w:pStyle w:val="Heading1"/>
      </w:pPr>
    </w:p>
    <w:p w14:paraId="3A71E097" w14:textId="11FAD110" w:rsidR="004D7E8E" w:rsidRDefault="004D7E8E" w:rsidP="004D7E8E"/>
    <w:p w14:paraId="0E91FF46" w14:textId="77777777" w:rsidR="004D7E8E" w:rsidRDefault="004D7E8E" w:rsidP="004D7E8E"/>
    <w:p w14:paraId="41C6F2A2" w14:textId="77777777" w:rsidR="004D7E8E" w:rsidRDefault="004D7E8E" w:rsidP="004D7E8E"/>
    <w:p w14:paraId="2E0F9177" w14:textId="77777777" w:rsidR="004D7E8E" w:rsidRPr="004D7E8E" w:rsidRDefault="004D7E8E" w:rsidP="004D7E8E"/>
    <w:p w14:paraId="3D78E1E0" w14:textId="77777777" w:rsidR="000B3851" w:rsidRDefault="000B3851">
      <w:pPr>
        <w:rPr>
          <w:rFonts w:ascii="Verdana" w:eastAsiaTheme="majorEastAsia" w:hAnsi="Verdana" w:cstheme="majorBidi"/>
          <w:b/>
          <w:color w:val="00565B"/>
          <w:sz w:val="30"/>
          <w:szCs w:val="30"/>
        </w:rPr>
      </w:pPr>
      <w:r>
        <w:rPr>
          <w:szCs w:val="30"/>
        </w:rPr>
        <w:br w:type="page"/>
      </w:r>
    </w:p>
    <w:p w14:paraId="6B87FAB1" w14:textId="6D3FA3B9" w:rsidR="00F13662" w:rsidRPr="00BB3D69" w:rsidRDefault="00F13662" w:rsidP="00F61D76">
      <w:pPr>
        <w:pStyle w:val="Heading1"/>
        <w:rPr>
          <w:szCs w:val="30"/>
        </w:rPr>
      </w:pPr>
      <w:bookmarkStart w:id="31" w:name="_Toc500189300"/>
      <w:r w:rsidRPr="00BB3D69">
        <w:rPr>
          <w:szCs w:val="30"/>
        </w:rPr>
        <w:lastRenderedPageBreak/>
        <w:t>Conclusions</w:t>
      </w:r>
      <w:bookmarkEnd w:id="31"/>
    </w:p>
    <w:p w14:paraId="069F4031" w14:textId="5351F594" w:rsidR="003445D9" w:rsidRDefault="00F13662" w:rsidP="002C3ACE">
      <w:pPr>
        <w:rPr>
          <w:rFonts w:ascii="Verdana" w:hAnsi="Verdana"/>
        </w:rPr>
      </w:pPr>
      <w:r w:rsidRPr="00F43F87">
        <w:rPr>
          <w:rFonts w:ascii="Verdana" w:hAnsi="Verdana"/>
        </w:rPr>
        <w:t xml:space="preserve">Deinstitutionalisation is at the core of the change brought about by the CRPD. It requires fundamental changes in the way persons with disabilities live, and how the support they receive to do so is provided. These encapsulate the paradigm shift that the convention as a whole demands. This makes deinstitutionalisation a significant challenge for </w:t>
      </w:r>
      <w:r w:rsidR="0031362B" w:rsidRPr="00F43F87">
        <w:rPr>
          <w:rFonts w:ascii="Verdana" w:hAnsi="Verdana"/>
        </w:rPr>
        <w:t>EU </w:t>
      </w:r>
      <w:r w:rsidRPr="00F43F87">
        <w:rPr>
          <w:rFonts w:ascii="Verdana" w:hAnsi="Verdana"/>
        </w:rPr>
        <w:t>Member States. It means, however, that progress in implementing deinstitutionalisation and broader independent living is a strong signal of concrete steps towards fulfilling the promise of the convention.</w:t>
      </w:r>
    </w:p>
    <w:p w14:paraId="5A012DA7" w14:textId="77777777" w:rsidR="00B37FEC" w:rsidRPr="00F43F87" w:rsidRDefault="00B37FEC" w:rsidP="002C3ACE">
      <w:pPr>
        <w:rPr>
          <w:rFonts w:ascii="Verdana" w:hAnsi="Verdana"/>
        </w:rPr>
      </w:pPr>
    </w:p>
    <w:p w14:paraId="1225DEEF" w14:textId="516AC4B3" w:rsidR="00F13662" w:rsidRPr="00BB3D69" w:rsidRDefault="00F13662" w:rsidP="00756EB2">
      <w:pPr>
        <w:rPr>
          <w:rFonts w:ascii="Verdana" w:hAnsi="Verdana"/>
          <w:i/>
          <w:color w:val="00565B"/>
        </w:rPr>
      </w:pPr>
      <w:r w:rsidRPr="00BB3D69">
        <w:rPr>
          <w:rFonts w:ascii="Verdana" w:hAnsi="Verdana"/>
          <w:i/>
          <w:color w:val="00565B"/>
        </w:rPr>
        <w:t xml:space="preserve">“Th[e] transition from residential care to community living […] is now a clear legal obligation undertaken by the Member States and by the European Union under Article 19 of the </w:t>
      </w:r>
      <w:r w:rsidR="0031362B" w:rsidRPr="00BB3D69">
        <w:rPr>
          <w:rFonts w:ascii="Verdana" w:hAnsi="Verdana"/>
          <w:i/>
          <w:color w:val="00565B"/>
        </w:rPr>
        <w:t>UN </w:t>
      </w:r>
      <w:r w:rsidRPr="00BB3D69">
        <w:rPr>
          <w:rFonts w:ascii="Verdana" w:hAnsi="Verdana"/>
          <w:i/>
          <w:color w:val="00565B"/>
        </w:rPr>
        <w:t>Convention on the Rights of Persons with Disabilities.”</w:t>
      </w:r>
    </w:p>
    <w:p w14:paraId="6014515B" w14:textId="111C9E23" w:rsidR="00F13662" w:rsidRPr="00BB3D69" w:rsidRDefault="00F13662" w:rsidP="002C3ACE">
      <w:pPr>
        <w:rPr>
          <w:rFonts w:ascii="Verdana" w:hAnsi="Verdana"/>
          <w:sz w:val="18"/>
          <w:szCs w:val="18"/>
        </w:rPr>
      </w:pPr>
      <w:r w:rsidRPr="00BB3D69">
        <w:rPr>
          <w:rFonts w:ascii="Verdana" w:hAnsi="Verdana"/>
          <w:sz w:val="18"/>
          <w:szCs w:val="18"/>
        </w:rPr>
        <w:t xml:space="preserve">Office of the High Commissioner for Human Rights Regional Office for Europe (2012), </w:t>
      </w:r>
      <w:hyperlink r:id="rId48" w:history="1">
        <w:r w:rsidRPr="00BB3D69">
          <w:rPr>
            <w:rStyle w:val="Hyperlink"/>
            <w:rFonts w:ascii="Verdana" w:eastAsia="Times New Roman" w:hAnsi="Verdana"/>
            <w:i/>
            <w:sz w:val="18"/>
            <w:szCs w:val="18"/>
          </w:rPr>
          <w:t>Getting a life – living independently and being included in the community</w:t>
        </w:r>
      </w:hyperlink>
      <w:r w:rsidRPr="00BB3D69">
        <w:rPr>
          <w:rFonts w:ascii="Verdana" w:hAnsi="Verdana"/>
          <w:sz w:val="18"/>
          <w:szCs w:val="18"/>
        </w:rPr>
        <w:t>, p. 8</w:t>
      </w:r>
    </w:p>
    <w:p w14:paraId="350C1E15" w14:textId="77777777" w:rsidR="00BB3D69" w:rsidRDefault="00BB3D69" w:rsidP="002C3ACE">
      <w:pPr>
        <w:rPr>
          <w:rFonts w:ascii="Verdana" w:hAnsi="Verdana"/>
        </w:rPr>
      </w:pPr>
    </w:p>
    <w:p w14:paraId="2DE66558" w14:textId="44A9253C" w:rsidR="00F13662" w:rsidRPr="00F43F87" w:rsidRDefault="00F13662" w:rsidP="002C3ACE">
      <w:pPr>
        <w:rPr>
          <w:rFonts w:ascii="Verdana" w:hAnsi="Verdana"/>
        </w:rPr>
      </w:pPr>
      <w:r w:rsidRPr="00F43F87">
        <w:rPr>
          <w:rFonts w:ascii="Verdana" w:hAnsi="Verdana"/>
        </w:rPr>
        <w:t xml:space="preserve">The data and analysis in this report reflect the huge diversity of deinstitutionalisation efforts under way in the </w:t>
      </w:r>
      <w:r w:rsidR="0031362B" w:rsidRPr="00F43F87">
        <w:rPr>
          <w:rFonts w:ascii="Verdana" w:hAnsi="Verdana"/>
        </w:rPr>
        <w:t>EU </w:t>
      </w:r>
      <w:r w:rsidRPr="00F43F87">
        <w:rPr>
          <w:rFonts w:ascii="Verdana" w:hAnsi="Verdana"/>
        </w:rPr>
        <w:t>Member States. Nevertheless, a number of commonalities have emerged. This suggests that effective deinstitutionalisation strategies and coordination of the different actors involved are key issues for Member States to consider in their ongoing deinstitutionalisation processes.</w:t>
      </w:r>
    </w:p>
    <w:p w14:paraId="50A3F48C" w14:textId="77777777" w:rsidR="00F13662" w:rsidRPr="00F43F87" w:rsidRDefault="00F13662" w:rsidP="002C3ACE">
      <w:pPr>
        <w:rPr>
          <w:rFonts w:ascii="Verdana" w:hAnsi="Verdana"/>
          <w:highlight w:val="yellow"/>
        </w:rPr>
      </w:pPr>
      <w:r w:rsidRPr="00F43F87">
        <w:rPr>
          <w:rFonts w:ascii="Verdana" w:hAnsi="Verdana"/>
          <w:highlight w:val="yellow"/>
        </w:rPr>
        <w:br w:type="page"/>
      </w:r>
    </w:p>
    <w:p w14:paraId="1FCE41CB" w14:textId="2DF2D33F" w:rsidR="00F13662" w:rsidRPr="004C3138" w:rsidRDefault="00F13662" w:rsidP="00F61D76">
      <w:pPr>
        <w:pStyle w:val="Heading1"/>
        <w:rPr>
          <w:szCs w:val="30"/>
        </w:rPr>
      </w:pPr>
      <w:bookmarkStart w:id="32" w:name="_Toc500189301"/>
      <w:r w:rsidRPr="004C3138">
        <w:rPr>
          <w:szCs w:val="30"/>
        </w:rPr>
        <w:lastRenderedPageBreak/>
        <w:t>Annex</w:t>
      </w:r>
      <w:bookmarkStart w:id="33" w:name="_Toc486941434"/>
      <w:bookmarkStart w:id="34" w:name="_Toc491442824"/>
      <w:r w:rsidR="004C3138" w:rsidRPr="004C3138">
        <w:rPr>
          <w:szCs w:val="30"/>
        </w:rPr>
        <w:t xml:space="preserve">: </w:t>
      </w:r>
      <w:r w:rsidR="00BF3A5B">
        <w:rPr>
          <w:szCs w:val="30"/>
        </w:rPr>
        <w:br/>
      </w:r>
      <w:r w:rsidR="004C3138" w:rsidRPr="004C3138">
        <w:rPr>
          <w:szCs w:val="30"/>
        </w:rPr>
        <w:t>FRA's project on the right to live independently and be included in the community</w:t>
      </w:r>
      <w:bookmarkEnd w:id="32"/>
    </w:p>
    <w:bookmarkEnd w:id="33"/>
    <w:bookmarkEnd w:id="34"/>
    <w:p w14:paraId="28EFA847" w14:textId="1060A9A4" w:rsidR="00F13662" w:rsidRPr="00F43F87" w:rsidRDefault="00F13662" w:rsidP="002C3ACE">
      <w:pPr>
        <w:rPr>
          <w:rFonts w:ascii="Verdana" w:hAnsi="Verdana"/>
        </w:rPr>
      </w:pPr>
      <w:r w:rsidRPr="00F43F87">
        <w:rPr>
          <w:rFonts w:ascii="Verdana" w:hAnsi="Verdana"/>
        </w:rPr>
        <w:t xml:space="preserve">FRA is mandated to provide assistance and expertise to </w:t>
      </w:r>
      <w:r w:rsidR="0031362B" w:rsidRPr="00F43F87">
        <w:rPr>
          <w:rFonts w:ascii="Verdana" w:hAnsi="Verdana"/>
        </w:rPr>
        <w:t>EU </w:t>
      </w:r>
      <w:r w:rsidRPr="00F43F87">
        <w:rPr>
          <w:rFonts w:ascii="Verdana" w:hAnsi="Verdana"/>
        </w:rPr>
        <w:t xml:space="preserve">institutions and Member States when they implement </w:t>
      </w:r>
      <w:r w:rsidR="0031362B" w:rsidRPr="00F43F87">
        <w:rPr>
          <w:rFonts w:ascii="Verdana" w:hAnsi="Verdana"/>
        </w:rPr>
        <w:t>EU </w:t>
      </w:r>
      <w:r w:rsidRPr="00F43F87">
        <w:rPr>
          <w:rFonts w:ascii="Verdana" w:hAnsi="Verdana"/>
        </w:rPr>
        <w:t>law and policy.</w:t>
      </w:r>
      <w:r w:rsidRPr="00F43F87">
        <w:rPr>
          <w:rStyle w:val="EndnoteReference"/>
          <w:rFonts w:ascii="Verdana" w:hAnsi="Verdana"/>
        </w:rPr>
        <w:endnoteReference w:id="104"/>
      </w:r>
      <w:r w:rsidRPr="00F43F87">
        <w:rPr>
          <w:rFonts w:ascii="Verdana" w:hAnsi="Verdana"/>
        </w:rPr>
        <w:t xml:space="preserve"> This includes </w:t>
      </w:r>
      <w:r w:rsidR="0031362B" w:rsidRPr="00F43F87">
        <w:rPr>
          <w:rFonts w:ascii="Verdana" w:hAnsi="Verdana"/>
        </w:rPr>
        <w:t>EU </w:t>
      </w:r>
      <w:r w:rsidRPr="00F43F87">
        <w:rPr>
          <w:rFonts w:ascii="Verdana" w:hAnsi="Verdana"/>
        </w:rPr>
        <w:t xml:space="preserve">action to implement the CRPD, which the </w:t>
      </w:r>
      <w:r w:rsidR="0031362B" w:rsidRPr="00F43F87">
        <w:rPr>
          <w:rFonts w:ascii="Verdana" w:hAnsi="Verdana"/>
        </w:rPr>
        <w:t>EU </w:t>
      </w:r>
      <w:r w:rsidRPr="00F43F87">
        <w:rPr>
          <w:rFonts w:ascii="Verdana" w:hAnsi="Verdana"/>
        </w:rPr>
        <w:t xml:space="preserve">accepted in 2010. FRA has provided evidence and expertise concerning implementation of the </w:t>
      </w:r>
      <w:r w:rsidR="0031362B" w:rsidRPr="00F43F87">
        <w:rPr>
          <w:rFonts w:ascii="Verdana" w:hAnsi="Verdana"/>
        </w:rPr>
        <w:t>CRPD </w:t>
      </w:r>
      <w:r w:rsidRPr="00F43F87">
        <w:rPr>
          <w:rFonts w:ascii="Verdana" w:hAnsi="Verdana"/>
        </w:rPr>
        <w:t>in a number of key areas. These include political participation,</w:t>
      </w:r>
      <w:r w:rsidRPr="00F43F87">
        <w:rPr>
          <w:rStyle w:val="EndnoteReference"/>
          <w:rFonts w:ascii="Verdana" w:hAnsi="Verdana"/>
        </w:rPr>
        <w:endnoteReference w:id="105"/>
      </w:r>
      <w:r w:rsidRPr="00F43F87">
        <w:rPr>
          <w:rFonts w:ascii="Verdana" w:hAnsi="Verdana"/>
        </w:rPr>
        <w:t xml:space="preserve"> legal capacity,</w:t>
      </w:r>
      <w:r w:rsidRPr="00F43F87">
        <w:rPr>
          <w:rStyle w:val="EndnoteReference"/>
          <w:rFonts w:ascii="Verdana" w:hAnsi="Verdana"/>
        </w:rPr>
        <w:endnoteReference w:id="106"/>
      </w:r>
      <w:r w:rsidRPr="00F43F87">
        <w:rPr>
          <w:rFonts w:ascii="Verdana" w:hAnsi="Verdana"/>
        </w:rPr>
        <w:t xml:space="preserve"> involuntary placement and treatment,</w:t>
      </w:r>
      <w:r w:rsidRPr="00F43F87">
        <w:rPr>
          <w:rStyle w:val="EndnoteReference"/>
          <w:rFonts w:ascii="Verdana" w:hAnsi="Verdana"/>
        </w:rPr>
        <w:endnoteReference w:id="107"/>
      </w:r>
      <w:r w:rsidRPr="00F43F87">
        <w:rPr>
          <w:rFonts w:ascii="Verdana" w:hAnsi="Verdana"/>
        </w:rPr>
        <w:t xml:space="preserve"> independent living,</w:t>
      </w:r>
      <w:r w:rsidRPr="00F43F87">
        <w:rPr>
          <w:rStyle w:val="EndnoteReference"/>
          <w:rFonts w:ascii="Verdana" w:hAnsi="Verdana"/>
        </w:rPr>
        <w:endnoteReference w:id="108"/>
      </w:r>
      <w:r w:rsidRPr="00F43F87">
        <w:rPr>
          <w:rFonts w:ascii="Verdana" w:hAnsi="Verdana"/>
        </w:rPr>
        <w:t xml:space="preserve"> non-discrimination</w:t>
      </w:r>
      <w:r w:rsidRPr="00F43F87">
        <w:rPr>
          <w:rStyle w:val="EndnoteReference"/>
          <w:rFonts w:ascii="Verdana" w:hAnsi="Verdana"/>
        </w:rPr>
        <w:endnoteReference w:id="109"/>
      </w:r>
      <w:r w:rsidRPr="00F43F87">
        <w:rPr>
          <w:rFonts w:ascii="Verdana" w:hAnsi="Verdana"/>
        </w:rPr>
        <w:t xml:space="preserve"> and violence against children with disabilities.</w:t>
      </w:r>
      <w:r w:rsidRPr="00F43F87">
        <w:rPr>
          <w:rStyle w:val="EndnoteReference"/>
          <w:rFonts w:ascii="Verdana" w:hAnsi="Verdana"/>
        </w:rPr>
        <w:endnoteReference w:id="110"/>
      </w:r>
    </w:p>
    <w:p w14:paraId="0D1774DA" w14:textId="583246B3" w:rsidR="00F13662" w:rsidRPr="00F43F87" w:rsidRDefault="00F13662" w:rsidP="002C3ACE">
      <w:pPr>
        <w:rPr>
          <w:rFonts w:ascii="Verdana" w:hAnsi="Verdana"/>
        </w:rPr>
      </w:pPr>
      <w:r w:rsidRPr="00F43F87">
        <w:rPr>
          <w:rFonts w:ascii="Verdana" w:hAnsi="Verdana"/>
        </w:rPr>
        <w:t xml:space="preserve">In this context, FRA started work in 2014 on a project exploring how the 28 </w:t>
      </w:r>
      <w:r w:rsidR="0031362B" w:rsidRPr="00F43F87">
        <w:rPr>
          <w:rFonts w:ascii="Verdana" w:hAnsi="Verdana"/>
        </w:rPr>
        <w:t>EU </w:t>
      </w:r>
      <w:r w:rsidRPr="00F43F87">
        <w:rPr>
          <w:rFonts w:ascii="Verdana" w:hAnsi="Verdana"/>
        </w:rPr>
        <w:t>Member States are fulfilling the right to independent living. It specifically focuses on deinstitutionalisation. This project incorporates three interrelated activities:</w:t>
      </w:r>
    </w:p>
    <w:p w14:paraId="57EA867E" w14:textId="399950DF" w:rsidR="00F13662" w:rsidRDefault="00F13662" w:rsidP="00682752">
      <w:pPr>
        <w:pStyle w:val="ListParagraph"/>
        <w:numPr>
          <w:ilvl w:val="0"/>
          <w:numId w:val="21"/>
        </w:numPr>
        <w:rPr>
          <w:rFonts w:ascii="Verdana" w:hAnsi="Verdana"/>
        </w:rPr>
      </w:pPr>
      <w:r w:rsidRPr="00F43F87">
        <w:rPr>
          <w:rFonts w:ascii="Verdana" w:hAnsi="Verdana"/>
        </w:rPr>
        <w:t xml:space="preserve">Mapping what types of institutional and community-based services for persons with disabilities are available in the 28 </w:t>
      </w:r>
      <w:r w:rsidR="0031362B" w:rsidRPr="00F43F87">
        <w:rPr>
          <w:rFonts w:ascii="Verdana" w:hAnsi="Verdana"/>
        </w:rPr>
        <w:t>EU </w:t>
      </w:r>
      <w:r w:rsidRPr="00F43F87">
        <w:rPr>
          <w:rFonts w:ascii="Verdana" w:hAnsi="Verdana"/>
        </w:rPr>
        <w:t xml:space="preserve">Member States. This mapping provides </w:t>
      </w:r>
      <w:r w:rsidR="0031362B" w:rsidRPr="00F43F87">
        <w:rPr>
          <w:rFonts w:ascii="Verdana" w:hAnsi="Verdana"/>
        </w:rPr>
        <w:t>EU </w:t>
      </w:r>
      <w:r w:rsidRPr="00F43F87">
        <w:rPr>
          <w:rFonts w:ascii="Verdana" w:hAnsi="Verdana"/>
        </w:rPr>
        <w:t>and national policy actors with baseline information to help them to identify where to focus their efforts to promote the transition from institutional to community-based support. A summary overview of this mapping was published in October 2017.</w:t>
      </w:r>
      <w:r w:rsidRPr="00F43F87">
        <w:rPr>
          <w:rStyle w:val="EndnoteReference"/>
          <w:rFonts w:ascii="Verdana" w:hAnsi="Verdana"/>
        </w:rPr>
        <w:endnoteReference w:id="111"/>
      </w:r>
    </w:p>
    <w:p w14:paraId="792E09EC" w14:textId="77777777" w:rsidR="004D7E8E" w:rsidRPr="00F43F87" w:rsidRDefault="004D7E8E" w:rsidP="004D7E8E">
      <w:pPr>
        <w:pStyle w:val="ListParagraph"/>
        <w:rPr>
          <w:rFonts w:ascii="Verdana" w:hAnsi="Verdana"/>
        </w:rPr>
      </w:pPr>
    </w:p>
    <w:p w14:paraId="5B366B8F" w14:textId="514E956D" w:rsidR="00F13662" w:rsidRDefault="00F13662" w:rsidP="00682752">
      <w:pPr>
        <w:pStyle w:val="ListParagraph"/>
        <w:numPr>
          <w:ilvl w:val="0"/>
          <w:numId w:val="21"/>
        </w:numPr>
        <w:rPr>
          <w:rFonts w:ascii="Verdana" w:hAnsi="Verdana"/>
        </w:rPr>
      </w:pPr>
      <w:r w:rsidRPr="00F43F87">
        <w:rPr>
          <w:rFonts w:ascii="Verdana" w:hAnsi="Verdana"/>
        </w:rPr>
        <w:t xml:space="preserve">Developing and applying human rights indicators to help assess progress in fulfilling Article 19 of the </w:t>
      </w:r>
      <w:r w:rsidR="0031362B" w:rsidRPr="00F43F87">
        <w:rPr>
          <w:rFonts w:ascii="Verdana" w:hAnsi="Verdana"/>
        </w:rPr>
        <w:t>CRPD </w:t>
      </w:r>
      <w:r w:rsidRPr="00F43F87">
        <w:rPr>
          <w:rFonts w:ascii="Verdana" w:hAnsi="Verdana"/>
        </w:rPr>
        <w:t xml:space="preserve">and to highlight gaps in current provision and availability of data in the 28 </w:t>
      </w:r>
      <w:r w:rsidR="0031362B" w:rsidRPr="00F43F87">
        <w:rPr>
          <w:rFonts w:ascii="Verdana" w:hAnsi="Verdana"/>
        </w:rPr>
        <w:t>EU </w:t>
      </w:r>
      <w:r w:rsidRPr="00F43F87">
        <w:rPr>
          <w:rFonts w:ascii="Verdana" w:hAnsi="Verdana"/>
        </w:rPr>
        <w:t>Member States.</w:t>
      </w:r>
      <w:r w:rsidRPr="00F43F87">
        <w:rPr>
          <w:rStyle w:val="EndnoteReference"/>
          <w:rFonts w:ascii="Verdana" w:hAnsi="Verdana"/>
        </w:rPr>
        <w:endnoteReference w:id="112"/>
      </w:r>
      <w:r w:rsidRPr="00F43F87">
        <w:rPr>
          <w:rFonts w:ascii="Verdana" w:hAnsi="Verdana"/>
        </w:rPr>
        <w:t xml:space="preserve"> These indicators were also published in October 2017.</w:t>
      </w:r>
      <w:r w:rsidRPr="00F43F87">
        <w:rPr>
          <w:rStyle w:val="EndnoteReference"/>
          <w:rFonts w:ascii="Verdana" w:hAnsi="Verdana"/>
        </w:rPr>
        <w:endnoteReference w:id="113"/>
      </w:r>
    </w:p>
    <w:p w14:paraId="2CCE9852" w14:textId="5E27E783" w:rsidR="004D7E8E" w:rsidRPr="004D7E8E" w:rsidRDefault="004D7E8E" w:rsidP="004D7E8E">
      <w:pPr>
        <w:pStyle w:val="ListParagraph"/>
        <w:rPr>
          <w:rFonts w:ascii="Verdana" w:hAnsi="Verdana"/>
        </w:rPr>
      </w:pPr>
    </w:p>
    <w:p w14:paraId="51C93A58" w14:textId="7720716C" w:rsidR="00F13662" w:rsidRDefault="00F13662" w:rsidP="00682752">
      <w:pPr>
        <w:pStyle w:val="ListParagraph"/>
        <w:numPr>
          <w:ilvl w:val="0"/>
          <w:numId w:val="21"/>
        </w:numPr>
        <w:rPr>
          <w:rFonts w:ascii="Verdana" w:hAnsi="Verdana"/>
        </w:rPr>
      </w:pPr>
      <w:r w:rsidRPr="00F43F87">
        <w:rPr>
          <w:rFonts w:ascii="Verdana" w:hAnsi="Verdana"/>
        </w:rPr>
        <w:t xml:space="preserve">Conducting fieldwork research in select </w:t>
      </w:r>
      <w:r w:rsidR="0031362B" w:rsidRPr="00F43F87">
        <w:rPr>
          <w:rFonts w:ascii="Verdana" w:hAnsi="Verdana"/>
        </w:rPr>
        <w:t>EU </w:t>
      </w:r>
      <w:r w:rsidRPr="00F43F87">
        <w:rPr>
          <w:rFonts w:ascii="Verdana" w:hAnsi="Verdana"/>
        </w:rPr>
        <w:t>Member States (Bulgaria, Finland, Ireland, Italy and Slovakia) at different stages of the deinstitutionalisation process to better understand the drivers of and barriers to the transition from institutional to community-based support. The findings of this in-depth research will come out in 2018.</w:t>
      </w:r>
    </w:p>
    <w:p w14:paraId="32F597C6" w14:textId="77777777" w:rsidR="00682752" w:rsidRPr="00F43F87" w:rsidRDefault="00682752" w:rsidP="00682752">
      <w:pPr>
        <w:pStyle w:val="ListParagraph"/>
        <w:rPr>
          <w:rFonts w:ascii="Verdana" w:hAnsi="Verdana"/>
        </w:rPr>
      </w:pPr>
    </w:p>
    <w:p w14:paraId="2FD0234D" w14:textId="77777777" w:rsidR="00F13662" w:rsidRPr="00F43F87" w:rsidRDefault="00F13662" w:rsidP="00682752">
      <w:pPr>
        <w:rPr>
          <w:rFonts w:ascii="Verdana" w:hAnsi="Verdana"/>
        </w:rPr>
      </w:pPr>
      <w:r w:rsidRPr="00F43F87">
        <w:rPr>
          <w:rFonts w:ascii="Verdana" w:hAnsi="Verdana"/>
        </w:rPr>
        <w:t>This report examines the evidence gathered under the second activity: developing and applying human rights indicators on the right to independent living.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AC68FB" w:rsidRPr="00F43F87" w14:paraId="3315DA49" w14:textId="77777777" w:rsidTr="00703183">
        <w:trPr>
          <w:cantSplit/>
        </w:trPr>
        <w:tc>
          <w:tcPr>
            <w:tcW w:w="0" w:type="auto"/>
            <w:shd w:val="clear" w:color="auto" w:fill="auto"/>
          </w:tcPr>
          <w:p w14:paraId="5EE718F0" w14:textId="77777777" w:rsidR="00F13662" w:rsidRPr="00682752" w:rsidRDefault="00F13662" w:rsidP="00682752">
            <w:pPr>
              <w:pStyle w:val="Heading3"/>
              <w:outlineLvl w:val="2"/>
              <w:rPr>
                <w:rFonts w:ascii="Verdana" w:hAnsi="Verdana"/>
                <w:b/>
                <w:color w:val="00565B"/>
                <w:lang w:val="en-GB"/>
              </w:rPr>
            </w:pPr>
            <w:bookmarkStart w:id="35" w:name="_Toc499031744"/>
            <w:bookmarkStart w:id="36" w:name="_Toc500189302"/>
            <w:r w:rsidRPr="00682752">
              <w:rPr>
                <w:rFonts w:ascii="Verdana" w:hAnsi="Verdana"/>
                <w:b/>
                <w:color w:val="00565B"/>
                <w:lang w:val="en-GB"/>
              </w:rPr>
              <w:lastRenderedPageBreak/>
              <w:t>Developing and applying human rights indicators</w:t>
            </w:r>
            <w:bookmarkEnd w:id="35"/>
            <w:bookmarkEnd w:id="36"/>
          </w:p>
          <w:p w14:paraId="3163690A" w14:textId="77777777" w:rsidR="00682752" w:rsidRPr="00F43F87" w:rsidRDefault="00682752" w:rsidP="002C3ACE">
            <w:pPr>
              <w:rPr>
                <w:rFonts w:ascii="Verdana" w:hAnsi="Verdana"/>
                <w:lang w:val="en-GB"/>
              </w:rPr>
            </w:pPr>
          </w:p>
          <w:p w14:paraId="62B49277" w14:textId="4A42A680" w:rsidR="00F13662" w:rsidRDefault="00F13662" w:rsidP="002C3ACE">
            <w:pPr>
              <w:rPr>
                <w:rFonts w:ascii="Verdana" w:hAnsi="Verdana"/>
                <w:lang w:val="en-GB"/>
              </w:rPr>
            </w:pPr>
            <w:r w:rsidRPr="00F43F87">
              <w:rPr>
                <w:rFonts w:ascii="Verdana" w:hAnsi="Verdana"/>
                <w:lang w:val="en-GB"/>
              </w:rPr>
              <w:t>The FRA indicator-related work is based on the framework for human rights indicators that the OHCHR developed.</w:t>
            </w:r>
            <w:r w:rsidRPr="00F43F87">
              <w:rPr>
                <w:rStyle w:val="EndnoteReference"/>
                <w:rFonts w:ascii="Verdana" w:hAnsi="Verdana"/>
                <w:lang w:val="en-GB"/>
              </w:rPr>
              <w:endnoteReference w:id="114"/>
            </w:r>
            <w:r w:rsidRPr="00F43F87">
              <w:rPr>
                <w:rFonts w:ascii="Verdana" w:hAnsi="Verdana"/>
                <w:lang w:val="en-GB"/>
              </w:rPr>
              <w:t xml:space="preserve"> FRA first used this model with respect to the </w:t>
            </w:r>
            <w:r w:rsidR="0031362B" w:rsidRPr="00F43F87">
              <w:rPr>
                <w:rFonts w:ascii="Verdana" w:hAnsi="Verdana"/>
                <w:lang w:val="en-GB"/>
              </w:rPr>
              <w:t>CRPD </w:t>
            </w:r>
            <w:r w:rsidRPr="00F43F87">
              <w:rPr>
                <w:rFonts w:ascii="Verdana" w:hAnsi="Verdana"/>
                <w:lang w:val="en-GB"/>
              </w:rPr>
              <w:t xml:space="preserve">in 2014, when it developed and applied human rights indicators on Article 29 of the </w:t>
            </w:r>
            <w:r w:rsidR="0031362B" w:rsidRPr="00F43F87">
              <w:rPr>
                <w:rFonts w:ascii="Verdana" w:hAnsi="Verdana"/>
                <w:lang w:val="en-GB"/>
              </w:rPr>
              <w:t>CRPD </w:t>
            </w:r>
            <w:r w:rsidRPr="00F43F87">
              <w:rPr>
                <w:rFonts w:ascii="Verdana" w:hAnsi="Verdana"/>
                <w:lang w:val="en-GB"/>
              </w:rPr>
              <w:t>on the right to participate in political and public life.</w:t>
            </w:r>
            <w:r w:rsidRPr="00F43F87">
              <w:rPr>
                <w:rStyle w:val="EndnoteReference"/>
                <w:rFonts w:ascii="Verdana" w:hAnsi="Verdana"/>
                <w:lang w:val="en-GB"/>
              </w:rPr>
              <w:endnoteReference w:id="115"/>
            </w:r>
          </w:p>
          <w:p w14:paraId="0AE62D39" w14:textId="77777777" w:rsidR="00231B5A" w:rsidRPr="00F43F87" w:rsidRDefault="00231B5A" w:rsidP="002C3ACE">
            <w:pPr>
              <w:rPr>
                <w:rFonts w:ascii="Verdana" w:hAnsi="Verdana"/>
                <w:lang w:val="en-GB"/>
              </w:rPr>
            </w:pPr>
          </w:p>
          <w:p w14:paraId="4463D2EB" w14:textId="77777777" w:rsidR="00AC68FB" w:rsidRDefault="00AC68FB" w:rsidP="002C3ACE">
            <w:pPr>
              <w:rPr>
                <w:rFonts w:ascii="Verdana" w:hAnsi="Verdana"/>
                <w:lang w:val="en-GB"/>
              </w:rPr>
            </w:pPr>
            <w:r w:rsidRPr="00F43F87">
              <w:rPr>
                <w:rFonts w:ascii="Verdana" w:hAnsi="Verdana"/>
                <w:lang w:val="en-GB"/>
              </w:rPr>
              <w:t>The FRA project on the right to independent living of persons with disabilities broadly corresponds to the three main elements of the OHCHR indicator framework. This framework is based on three clusters of indicators: (1) structural indicators focusing on the State’s acceptance and commitment to specific human rights obligations; (2) process indicators on the State’s efforts to transform commitments into desired results; and (3) outcome indicators measuring the results of these commitments and efforts on individuals’ human rights situation.</w:t>
            </w:r>
          </w:p>
          <w:p w14:paraId="48C57873" w14:textId="77777777" w:rsidR="00231B5A" w:rsidRPr="00F43F87" w:rsidRDefault="00231B5A" w:rsidP="002C3ACE">
            <w:pPr>
              <w:rPr>
                <w:rFonts w:ascii="Verdana" w:hAnsi="Verdana"/>
                <w:lang w:val="en-GB"/>
              </w:rPr>
            </w:pPr>
          </w:p>
          <w:p w14:paraId="449F6C98" w14:textId="40538837" w:rsidR="00AC68FB" w:rsidRPr="00F43F87" w:rsidRDefault="00AC68FB" w:rsidP="002C3ACE">
            <w:pPr>
              <w:rPr>
                <w:rFonts w:ascii="Verdana" w:hAnsi="Verdana"/>
                <w:lang w:val="en-GB"/>
              </w:rPr>
            </w:pPr>
            <w:r w:rsidRPr="00F43F87">
              <w:rPr>
                <w:rFonts w:ascii="Verdana" w:hAnsi="Verdana"/>
                <w:lang w:val="en-GB"/>
              </w:rPr>
              <w:t xml:space="preserve">The three papers stemming from the FRA indicators on Article 19 of the </w:t>
            </w:r>
            <w:r w:rsidR="0031362B" w:rsidRPr="00F43F87">
              <w:rPr>
                <w:rFonts w:ascii="Verdana" w:hAnsi="Verdana"/>
                <w:lang w:val="en-GB"/>
              </w:rPr>
              <w:t>CRPD </w:t>
            </w:r>
            <w:r w:rsidRPr="00F43F87">
              <w:rPr>
                <w:rFonts w:ascii="Verdana" w:hAnsi="Verdana"/>
                <w:lang w:val="en-GB"/>
              </w:rPr>
              <w:t xml:space="preserve">also reflect this approach. This paper focuses on structural commitments to achieving deinstitutionalisation, the paper on financing highlights States’ budgetary efforts to implement these commitments, and the third paper assesses the situation on the ground. </w:t>
            </w:r>
          </w:p>
        </w:tc>
      </w:tr>
    </w:tbl>
    <w:p w14:paraId="3862B37A" w14:textId="77777777" w:rsidR="000B12CD" w:rsidRPr="00F43F87" w:rsidRDefault="000B12CD" w:rsidP="002C3ACE">
      <w:pPr>
        <w:rPr>
          <w:rFonts w:ascii="Verdana" w:hAnsi="Verdana"/>
        </w:rPr>
      </w:pPr>
    </w:p>
    <w:sectPr w:rsidR="000B12CD" w:rsidRPr="00F43F87" w:rsidSect="00156611">
      <w:footerReference w:type="default" r:id="rId49"/>
      <w:endnotePr>
        <w:numFmt w:val="decimal"/>
      </w:endnotePr>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1B73B" w14:textId="77777777" w:rsidR="00E278E4" w:rsidRDefault="00E278E4" w:rsidP="002C3ACE">
      <w:r>
        <w:separator/>
      </w:r>
    </w:p>
  </w:endnote>
  <w:endnote w:type="continuationSeparator" w:id="0">
    <w:p w14:paraId="2208726B" w14:textId="77777777" w:rsidR="00E278E4" w:rsidRDefault="00E278E4" w:rsidP="002C3ACE">
      <w:r>
        <w:continuationSeparator/>
      </w:r>
    </w:p>
  </w:endnote>
  <w:endnote w:type="continuationNotice" w:id="1">
    <w:p w14:paraId="3EF84B11" w14:textId="77777777" w:rsidR="00E278E4" w:rsidRDefault="00E278E4" w:rsidP="002C3ACE"/>
  </w:endnote>
  <w:endnote w:id="2">
    <w:p w14:paraId="44FA0822" w14:textId="6891B181" w:rsidR="00E278E4" w:rsidRPr="00231B5A" w:rsidRDefault="00E278E4" w:rsidP="00231B5A">
      <w:pPr>
        <w:pStyle w:val="Heading1"/>
        <w:rPr>
          <w:szCs w:val="30"/>
        </w:rPr>
      </w:pPr>
      <w:r w:rsidRPr="00231B5A">
        <w:rPr>
          <w:szCs w:val="30"/>
        </w:rPr>
        <w:t>Endnotes</w:t>
      </w:r>
    </w:p>
    <w:p w14:paraId="08456072" w14:textId="77777777" w:rsidR="00E278E4" w:rsidRDefault="00E278E4" w:rsidP="002C3ACE">
      <w:pPr>
        <w:pStyle w:val="EndnoteText"/>
      </w:pPr>
    </w:p>
    <w:p w14:paraId="79CFB845" w14:textId="19E09CD2"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Office of the High Commissioner for Human Rights Regional Office for Europe (2012), </w:t>
      </w:r>
      <w:hyperlink r:id="rId1" w:history="1">
        <w:r w:rsidRPr="00D6034E">
          <w:rPr>
            <w:rStyle w:val="Hyperlink"/>
            <w:rFonts w:ascii="Verdana" w:hAnsi="Verdana"/>
            <w:i/>
            <w:sz w:val="18"/>
            <w:szCs w:val="18"/>
          </w:rPr>
          <w:t>Getting a life – living independently and being included in the community</w:t>
        </w:r>
      </w:hyperlink>
      <w:r w:rsidRPr="00D6034E">
        <w:rPr>
          <w:rFonts w:ascii="Verdana" w:hAnsi="Verdana"/>
          <w:sz w:val="18"/>
          <w:szCs w:val="18"/>
        </w:rPr>
        <w:t>, p. 24.</w:t>
      </w:r>
    </w:p>
    <w:p w14:paraId="10D8D542" w14:textId="77777777" w:rsidR="00E278E4" w:rsidRPr="00D6034E" w:rsidRDefault="00E278E4" w:rsidP="002C3ACE">
      <w:pPr>
        <w:pStyle w:val="EndnoteText"/>
        <w:rPr>
          <w:rFonts w:ascii="Verdana" w:hAnsi="Verdana"/>
          <w:sz w:val="18"/>
          <w:szCs w:val="18"/>
        </w:rPr>
      </w:pPr>
    </w:p>
  </w:endnote>
  <w:endnote w:id="3">
    <w:p w14:paraId="31A3231F" w14:textId="38F3A387"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See, in particular, CRPD Committee (2017), </w:t>
      </w:r>
      <w:hyperlink r:id="rId2" w:history="1">
        <w:r w:rsidRPr="00D6034E">
          <w:rPr>
            <w:rStyle w:val="Hyperlink"/>
            <w:rFonts w:ascii="Verdana" w:hAnsi="Verdana"/>
            <w:sz w:val="18"/>
            <w:szCs w:val="18"/>
          </w:rPr>
          <w:t>General Comment No. 5 – Article 19: Living independently and being included in the community</w:t>
        </w:r>
      </w:hyperlink>
      <w:r w:rsidRPr="00D6034E">
        <w:rPr>
          <w:rFonts w:ascii="Verdana" w:hAnsi="Verdana"/>
          <w:sz w:val="18"/>
          <w:szCs w:val="18"/>
        </w:rPr>
        <w:t xml:space="preserve">, CRPD/C/18/1, 29 August 2017, para. 16 (c). Many organisations, including FRA, submitted </w:t>
      </w:r>
      <w:hyperlink r:id="rId3" w:history="1">
        <w:r w:rsidRPr="00D6034E">
          <w:rPr>
            <w:rStyle w:val="Hyperlink"/>
            <w:rFonts w:ascii="Verdana" w:hAnsi="Verdana"/>
            <w:sz w:val="18"/>
            <w:szCs w:val="18"/>
          </w:rPr>
          <w:t>written comments on the draft</w:t>
        </w:r>
      </w:hyperlink>
      <w:r w:rsidRPr="00D6034E">
        <w:rPr>
          <w:rStyle w:val="Hyperlink"/>
          <w:rFonts w:ascii="Verdana" w:hAnsi="Verdana"/>
          <w:sz w:val="18"/>
          <w:szCs w:val="18"/>
        </w:rPr>
        <w:t xml:space="preserve"> General Comment</w:t>
      </w:r>
      <w:r w:rsidRPr="00D6034E">
        <w:rPr>
          <w:rFonts w:ascii="Verdana" w:hAnsi="Verdana"/>
          <w:sz w:val="18"/>
          <w:szCs w:val="18"/>
        </w:rPr>
        <w:t>.</w:t>
      </w:r>
    </w:p>
    <w:p w14:paraId="6979FB26" w14:textId="77777777" w:rsidR="00E278E4" w:rsidRPr="00D6034E" w:rsidRDefault="00E278E4" w:rsidP="002C3ACE">
      <w:pPr>
        <w:pStyle w:val="EndnoteText"/>
        <w:rPr>
          <w:rFonts w:ascii="Verdana" w:hAnsi="Verdana"/>
          <w:sz w:val="18"/>
          <w:szCs w:val="18"/>
        </w:rPr>
      </w:pPr>
    </w:p>
  </w:endnote>
  <w:endnote w:id="4">
    <w:p w14:paraId="26E2F6CD" w14:textId="432561D9"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United Nations General Assembly (2014), Thematic study on the right of persons with disabilities to live independently and be included in the community: report of the Office of the United Nations High Commissioner for Human Rights, A/HRC/28/37, 12 December 2014, para. 25.</w:t>
      </w:r>
    </w:p>
    <w:p w14:paraId="07A4C729" w14:textId="77777777" w:rsidR="00E278E4" w:rsidRPr="00D6034E" w:rsidRDefault="00E278E4" w:rsidP="002C3ACE">
      <w:pPr>
        <w:pStyle w:val="EndnoteText"/>
        <w:rPr>
          <w:rFonts w:ascii="Verdana" w:hAnsi="Verdana"/>
          <w:sz w:val="18"/>
          <w:szCs w:val="18"/>
        </w:rPr>
      </w:pPr>
    </w:p>
  </w:endnote>
  <w:endnote w:id="5">
    <w:p w14:paraId="6C22E931" w14:textId="76E8CD67"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European Expert Group on the Transition from Institutional to Community-based Care (2012), </w:t>
      </w:r>
      <w:hyperlink r:id="rId4" w:history="1">
        <w:r w:rsidRPr="00D6034E">
          <w:rPr>
            <w:rStyle w:val="Hyperlink"/>
            <w:rFonts w:ascii="Verdana" w:hAnsi="Verdana"/>
            <w:sz w:val="18"/>
            <w:szCs w:val="18"/>
          </w:rPr>
          <w:t>Common European Guidelines on the Transition from Institutional to Community-based Care</w:t>
        </w:r>
      </w:hyperlink>
      <w:r w:rsidRPr="00D6034E">
        <w:rPr>
          <w:rFonts w:ascii="Verdana" w:hAnsi="Verdana"/>
          <w:sz w:val="18"/>
          <w:szCs w:val="18"/>
        </w:rPr>
        <w:t>, p. 27.</w:t>
      </w:r>
    </w:p>
    <w:p w14:paraId="57792804" w14:textId="77777777" w:rsidR="00E278E4" w:rsidRPr="00D6034E" w:rsidRDefault="00E278E4" w:rsidP="002C3ACE">
      <w:pPr>
        <w:pStyle w:val="EndnoteText"/>
        <w:rPr>
          <w:rFonts w:ascii="Verdana" w:hAnsi="Verdana"/>
          <w:sz w:val="18"/>
          <w:szCs w:val="18"/>
        </w:rPr>
      </w:pPr>
    </w:p>
  </w:endnote>
  <w:endnote w:id="6">
    <w:p w14:paraId="0CB11984" w14:textId="16E38BF3"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FRA (2017), From institutions to community living, Part II: funding and budgeting, and FRA (2017), From institutions to community living, Part III: outcomes for persons with disabilities, Luxembourg, Publications Office.</w:t>
      </w:r>
    </w:p>
    <w:p w14:paraId="65C99122" w14:textId="77777777" w:rsidR="00E278E4" w:rsidRPr="00D6034E" w:rsidRDefault="00E278E4" w:rsidP="002C3ACE">
      <w:pPr>
        <w:pStyle w:val="EndnoteText"/>
        <w:rPr>
          <w:rStyle w:val="EndnoteReference"/>
          <w:rFonts w:ascii="Verdana" w:hAnsi="Verdana"/>
          <w:sz w:val="18"/>
          <w:szCs w:val="18"/>
        </w:rPr>
      </w:pPr>
    </w:p>
  </w:endnote>
  <w:endnote w:id="7">
    <w:p w14:paraId="0540B07D" w14:textId="5E00FD2A"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FRA (2016), </w:t>
      </w:r>
      <w:r w:rsidRPr="00D6034E">
        <w:rPr>
          <w:rFonts w:ascii="Verdana" w:hAnsi="Verdana"/>
          <w:i/>
          <w:sz w:val="18"/>
          <w:szCs w:val="18"/>
        </w:rPr>
        <w:t>Fundamental Rights Report 2016</w:t>
      </w:r>
      <w:r w:rsidRPr="00D6034E">
        <w:rPr>
          <w:rFonts w:ascii="Verdana" w:hAnsi="Verdana"/>
          <w:sz w:val="18"/>
          <w:szCs w:val="18"/>
        </w:rPr>
        <w:t>, Luxembourg, Publications Office.</w:t>
      </w:r>
    </w:p>
    <w:p w14:paraId="00D1AC28" w14:textId="77777777" w:rsidR="00E278E4" w:rsidRPr="00D6034E" w:rsidRDefault="00E278E4" w:rsidP="002C3ACE">
      <w:pPr>
        <w:pStyle w:val="EndnoteText"/>
        <w:rPr>
          <w:rFonts w:ascii="Verdana" w:hAnsi="Verdana"/>
          <w:sz w:val="18"/>
          <w:szCs w:val="18"/>
        </w:rPr>
      </w:pPr>
    </w:p>
  </w:endnote>
  <w:endnote w:id="8">
    <w:p w14:paraId="705C2867" w14:textId="06C6361A"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See also: Council of Europe (1996), European Social Charter (Revised), Art. 15.</w:t>
      </w:r>
    </w:p>
    <w:p w14:paraId="04BDD292" w14:textId="77777777" w:rsidR="00E278E4" w:rsidRPr="00D6034E" w:rsidRDefault="00E278E4" w:rsidP="002C3ACE">
      <w:pPr>
        <w:pStyle w:val="EndnoteText"/>
        <w:rPr>
          <w:rFonts w:ascii="Verdana" w:hAnsi="Verdana"/>
          <w:sz w:val="18"/>
          <w:szCs w:val="18"/>
        </w:rPr>
      </w:pPr>
    </w:p>
  </w:endnote>
  <w:endnote w:id="9">
    <w:p w14:paraId="6F2968FD" w14:textId="358EC3CD"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These three components are analysed in greater depth in: Council of Europe Commissioner for Human Rights (2012), </w:t>
      </w:r>
      <w:hyperlink r:id="rId5" w:history="1">
        <w:r w:rsidRPr="00D6034E">
          <w:rPr>
            <w:rStyle w:val="Hyperlink"/>
            <w:rFonts w:ascii="Verdana" w:hAnsi="Verdana"/>
            <w:i/>
            <w:sz w:val="18"/>
            <w:szCs w:val="18"/>
          </w:rPr>
          <w:t>The right of people with disabilities to live independently and be included in the community</w:t>
        </w:r>
      </w:hyperlink>
      <w:r w:rsidRPr="00D6034E">
        <w:rPr>
          <w:rFonts w:ascii="Verdana" w:hAnsi="Verdana"/>
          <w:sz w:val="18"/>
          <w:szCs w:val="18"/>
        </w:rPr>
        <w:t xml:space="preserve">, Strasbourg, Council of Europe; and United Nations General Assembly (2014), </w:t>
      </w:r>
      <w:r w:rsidRPr="00D6034E">
        <w:rPr>
          <w:rFonts w:ascii="Verdana" w:hAnsi="Verdana"/>
          <w:i/>
          <w:sz w:val="18"/>
          <w:szCs w:val="18"/>
        </w:rPr>
        <w:t>Thematic study on the right of persons with disabilities to live independently and be included in the community</w:t>
      </w:r>
      <w:r w:rsidRPr="00D6034E">
        <w:rPr>
          <w:rFonts w:ascii="Verdana" w:hAnsi="Verdana"/>
          <w:sz w:val="18"/>
          <w:szCs w:val="18"/>
        </w:rPr>
        <w:t>, A/HRC/28/37, 12 December 2014.</w:t>
      </w:r>
    </w:p>
    <w:p w14:paraId="0143E676" w14:textId="77777777" w:rsidR="00E278E4" w:rsidRPr="00D6034E" w:rsidRDefault="00E278E4" w:rsidP="002C3ACE">
      <w:pPr>
        <w:pStyle w:val="EndnoteText"/>
        <w:rPr>
          <w:rFonts w:ascii="Verdana" w:hAnsi="Verdana"/>
          <w:sz w:val="18"/>
          <w:szCs w:val="18"/>
        </w:rPr>
      </w:pPr>
    </w:p>
  </w:endnote>
  <w:endnote w:id="10">
    <w:p w14:paraId="46F30BDF" w14:textId="24ECF1EB"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CRPD Committee (2017), </w:t>
      </w:r>
      <w:hyperlink r:id="rId6" w:history="1">
        <w:r w:rsidRPr="00D6034E">
          <w:rPr>
            <w:rStyle w:val="Hyperlink"/>
            <w:rFonts w:ascii="Verdana" w:hAnsi="Verdana"/>
            <w:sz w:val="18"/>
            <w:szCs w:val="18"/>
          </w:rPr>
          <w:t>General Comment No. 5 – Article 19: Living independently and being included in the community</w:t>
        </w:r>
      </w:hyperlink>
      <w:r w:rsidRPr="00D6034E">
        <w:rPr>
          <w:rFonts w:ascii="Verdana" w:hAnsi="Verdana"/>
          <w:sz w:val="18"/>
          <w:szCs w:val="18"/>
        </w:rPr>
        <w:t>, CRPD/C/18/1, 29 August 2017, paras. 39-41</w:t>
      </w:r>
    </w:p>
    <w:p w14:paraId="2A167DBA" w14:textId="77777777" w:rsidR="00E278E4" w:rsidRPr="00D6034E" w:rsidRDefault="00E278E4" w:rsidP="002C3ACE">
      <w:pPr>
        <w:pStyle w:val="EndnoteText"/>
        <w:rPr>
          <w:rFonts w:ascii="Verdana" w:hAnsi="Verdana"/>
          <w:sz w:val="18"/>
          <w:szCs w:val="18"/>
        </w:rPr>
      </w:pPr>
    </w:p>
  </w:endnote>
  <w:endnote w:id="11">
    <w:p w14:paraId="618F4130" w14:textId="3BE2178C"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See: UN General Assembly (2006), </w:t>
      </w:r>
      <w:r w:rsidRPr="00D6034E">
        <w:rPr>
          <w:rFonts w:ascii="Verdana" w:hAnsi="Verdana"/>
          <w:i/>
          <w:sz w:val="18"/>
          <w:szCs w:val="18"/>
        </w:rPr>
        <w:t>Convention on the rights of persons with disabilities</w:t>
      </w:r>
      <w:r w:rsidRPr="00D6034E">
        <w:rPr>
          <w:rFonts w:ascii="Verdana" w:hAnsi="Verdana"/>
          <w:sz w:val="18"/>
          <w:szCs w:val="18"/>
        </w:rPr>
        <w:t xml:space="preserve">, Article 4(2). More information on progressive realisation is available in: Office of the UN High Commissioner for Human Rights (2008), </w:t>
      </w:r>
      <w:hyperlink r:id="rId7" w:history="1">
        <w:r w:rsidRPr="00D6034E">
          <w:rPr>
            <w:rStyle w:val="Hyperlink"/>
            <w:rFonts w:ascii="Verdana" w:hAnsi="Verdana"/>
            <w:i/>
            <w:sz w:val="18"/>
            <w:szCs w:val="18"/>
          </w:rPr>
          <w:t>Frequently asked questions on economic, social and cultural rights</w:t>
        </w:r>
      </w:hyperlink>
      <w:r w:rsidRPr="00D6034E">
        <w:rPr>
          <w:rFonts w:ascii="Verdana" w:hAnsi="Verdana"/>
          <w:i/>
          <w:sz w:val="18"/>
          <w:szCs w:val="18"/>
        </w:rPr>
        <w:t xml:space="preserve">, </w:t>
      </w:r>
      <w:r w:rsidRPr="00D6034E">
        <w:rPr>
          <w:rFonts w:ascii="Verdana" w:hAnsi="Verdana"/>
          <w:sz w:val="18"/>
          <w:szCs w:val="18"/>
        </w:rPr>
        <w:t>Factsheet No. 33.</w:t>
      </w:r>
    </w:p>
    <w:p w14:paraId="5C4FA903" w14:textId="77777777" w:rsidR="00E278E4" w:rsidRPr="00D6034E" w:rsidRDefault="00E278E4" w:rsidP="002C3ACE">
      <w:pPr>
        <w:pStyle w:val="EndnoteText"/>
        <w:rPr>
          <w:rFonts w:ascii="Verdana" w:hAnsi="Verdana"/>
          <w:sz w:val="18"/>
          <w:szCs w:val="18"/>
        </w:rPr>
      </w:pPr>
    </w:p>
  </w:endnote>
  <w:endnote w:id="12">
    <w:p w14:paraId="08E1B877" w14:textId="16CB8241"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CRPD Committee (2014), </w:t>
      </w:r>
      <w:hyperlink r:id="rId8" w:history="1">
        <w:r w:rsidRPr="00D6034E">
          <w:rPr>
            <w:rStyle w:val="Hyperlink"/>
            <w:rFonts w:ascii="Verdana" w:hAnsi="Verdana"/>
            <w:sz w:val="18"/>
            <w:szCs w:val="18"/>
          </w:rPr>
          <w:t>General Comment No. 1 – Article 12: Equal recognition before the law</w:t>
        </w:r>
      </w:hyperlink>
      <w:r w:rsidRPr="00D6034E">
        <w:rPr>
          <w:rFonts w:ascii="Verdana" w:hAnsi="Verdana"/>
          <w:sz w:val="18"/>
          <w:szCs w:val="18"/>
        </w:rPr>
        <w:t>, para. 46; and CRPD Committee (2017), CRPD Committee (2017), </w:t>
      </w:r>
      <w:hyperlink r:id="rId9" w:history="1">
        <w:r w:rsidRPr="00D6034E">
          <w:rPr>
            <w:rStyle w:val="Hyperlink"/>
            <w:rFonts w:ascii="Verdana" w:hAnsi="Verdana"/>
            <w:sz w:val="18"/>
            <w:szCs w:val="18"/>
          </w:rPr>
          <w:t>General Comment No. 5 – Article 19: Living independently and being included in the community</w:t>
        </w:r>
      </w:hyperlink>
      <w:r w:rsidRPr="00D6034E">
        <w:rPr>
          <w:rFonts w:ascii="Verdana" w:hAnsi="Verdana"/>
          <w:sz w:val="18"/>
          <w:szCs w:val="18"/>
        </w:rPr>
        <w:t>, CRPD/C/18/1, 29 August 2017, paras. 27 and 81; OHCHR (2014), </w:t>
      </w:r>
      <w:hyperlink r:id="rId10" w:history="1">
        <w:r w:rsidRPr="00D6034E">
          <w:rPr>
            <w:rStyle w:val="Hyperlink"/>
            <w:rFonts w:ascii="Verdana" w:hAnsi="Verdana"/>
            <w:i/>
            <w:iCs/>
            <w:sz w:val="18"/>
            <w:szCs w:val="18"/>
          </w:rPr>
          <w:t>Thematic study on the right of persons with disabilities to live independently and be included in the community</w:t>
        </w:r>
      </w:hyperlink>
      <w:r w:rsidRPr="00D6034E">
        <w:rPr>
          <w:rFonts w:ascii="Verdana" w:hAnsi="Verdana"/>
          <w:sz w:val="18"/>
          <w:szCs w:val="18"/>
        </w:rPr>
        <w:t xml:space="preserve">, A/HRC/28/37, paras. 15-18. See also: FRA (2013), </w:t>
      </w:r>
      <w:hyperlink r:id="rId11" w:history="1">
        <w:r w:rsidRPr="00D6034E">
          <w:rPr>
            <w:rStyle w:val="Hyperlink"/>
            <w:rFonts w:ascii="Verdana" w:hAnsi="Verdana"/>
            <w:i/>
            <w:sz w:val="18"/>
            <w:szCs w:val="18"/>
          </w:rPr>
          <w:t>Legal capacity of persons with intellectual disabilities and persons with mental health problems</w:t>
        </w:r>
      </w:hyperlink>
      <w:r w:rsidRPr="00D6034E">
        <w:rPr>
          <w:rFonts w:ascii="Verdana" w:hAnsi="Verdana"/>
          <w:i/>
          <w:sz w:val="18"/>
          <w:szCs w:val="18"/>
        </w:rPr>
        <w:t>,</w:t>
      </w:r>
      <w:r w:rsidRPr="00D6034E">
        <w:rPr>
          <w:rFonts w:ascii="Verdana" w:hAnsi="Verdana"/>
          <w:sz w:val="18"/>
          <w:szCs w:val="18"/>
        </w:rPr>
        <w:t xml:space="preserve"> Luxembourg, Publications Office.</w:t>
      </w:r>
    </w:p>
    <w:p w14:paraId="0ABBA904" w14:textId="77777777" w:rsidR="00E278E4" w:rsidRPr="00D6034E" w:rsidRDefault="00E278E4" w:rsidP="002C3ACE">
      <w:pPr>
        <w:pStyle w:val="EndnoteText"/>
        <w:rPr>
          <w:rFonts w:ascii="Verdana" w:hAnsi="Verdana"/>
          <w:i/>
          <w:sz w:val="18"/>
          <w:szCs w:val="18"/>
        </w:rPr>
      </w:pPr>
    </w:p>
  </w:endnote>
  <w:endnote w:id="13">
    <w:p w14:paraId="65538C3A" w14:textId="1850A8EB"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Further information on the ratification status of the EU Member States, in addition to details of the bodies established under Article 33 of the CRPD, is available on FRA’s </w:t>
      </w:r>
      <w:hyperlink r:id="rId12" w:history="1">
        <w:r w:rsidRPr="00D6034E">
          <w:rPr>
            <w:rStyle w:val="Hyperlink"/>
            <w:rFonts w:ascii="Verdana" w:hAnsi="Verdana"/>
            <w:sz w:val="18"/>
            <w:szCs w:val="18"/>
          </w:rPr>
          <w:t>website</w:t>
        </w:r>
      </w:hyperlink>
      <w:r w:rsidRPr="00D6034E">
        <w:rPr>
          <w:rFonts w:ascii="Verdana" w:hAnsi="Verdana"/>
          <w:sz w:val="18"/>
          <w:szCs w:val="18"/>
        </w:rPr>
        <w:t>.</w:t>
      </w:r>
    </w:p>
    <w:p w14:paraId="452DD7C6" w14:textId="77777777" w:rsidR="00E278E4" w:rsidRPr="00D6034E" w:rsidRDefault="00E278E4" w:rsidP="002C3ACE">
      <w:pPr>
        <w:pStyle w:val="EndnoteText"/>
        <w:rPr>
          <w:rFonts w:ascii="Verdana" w:hAnsi="Verdana"/>
          <w:sz w:val="18"/>
          <w:szCs w:val="18"/>
        </w:rPr>
      </w:pPr>
    </w:p>
  </w:endnote>
  <w:endnote w:id="14">
    <w:p w14:paraId="4F1E3484" w14:textId="0DBA752C"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See: </w:t>
      </w:r>
      <w:hyperlink r:id="rId13" w:history="1">
        <w:r w:rsidRPr="00D6034E">
          <w:rPr>
            <w:rStyle w:val="Hyperlink"/>
            <w:rFonts w:ascii="Verdana" w:hAnsi="Verdana"/>
            <w:sz w:val="18"/>
            <w:szCs w:val="18"/>
          </w:rPr>
          <w:t>Council Decision of 26 November 2009 concerning the conclusion, by the European Community, of the United Nations Convention on the Rights of Persons with Disabilities</w:t>
        </w:r>
      </w:hyperlink>
      <w:r w:rsidRPr="00D6034E">
        <w:rPr>
          <w:rFonts w:ascii="Verdana" w:hAnsi="Verdana"/>
          <w:sz w:val="18"/>
          <w:szCs w:val="18"/>
        </w:rPr>
        <w:t>, OJ L 23, 27 January 2010, Appendix.</w:t>
      </w:r>
    </w:p>
    <w:p w14:paraId="7DFCF6D4" w14:textId="77777777" w:rsidR="00E278E4" w:rsidRPr="00D6034E" w:rsidRDefault="00E278E4" w:rsidP="002C3ACE">
      <w:pPr>
        <w:pStyle w:val="EndnoteText"/>
        <w:rPr>
          <w:rFonts w:ascii="Verdana" w:hAnsi="Verdana"/>
          <w:sz w:val="18"/>
          <w:szCs w:val="18"/>
        </w:rPr>
      </w:pPr>
    </w:p>
  </w:endnote>
  <w:endnote w:id="15">
    <w:p w14:paraId="15721B7C" w14:textId="7713B885"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See FRA (2015), </w:t>
      </w:r>
      <w:hyperlink r:id="rId14" w:history="1">
        <w:r w:rsidRPr="00D6034E">
          <w:rPr>
            <w:rStyle w:val="Hyperlink"/>
            <w:rFonts w:ascii="Verdana" w:hAnsi="Verdana"/>
            <w:i/>
            <w:sz w:val="18"/>
            <w:szCs w:val="18"/>
          </w:rPr>
          <w:t>Implementing the UN CRPD: An overview of legal reforms in EU Member States</w:t>
        </w:r>
      </w:hyperlink>
      <w:r w:rsidRPr="00D6034E">
        <w:rPr>
          <w:rFonts w:ascii="Verdana" w:hAnsi="Verdana"/>
          <w:sz w:val="18"/>
          <w:szCs w:val="18"/>
        </w:rPr>
        <w:t>, FRA Annual Reports.</w:t>
      </w:r>
    </w:p>
    <w:p w14:paraId="2653ADDE" w14:textId="77777777" w:rsidR="00E278E4" w:rsidRPr="00D6034E" w:rsidRDefault="00E278E4" w:rsidP="002C3ACE">
      <w:pPr>
        <w:pStyle w:val="EndnoteText"/>
        <w:rPr>
          <w:rFonts w:ascii="Verdana" w:hAnsi="Verdana"/>
          <w:sz w:val="18"/>
          <w:szCs w:val="18"/>
        </w:rPr>
      </w:pPr>
    </w:p>
  </w:endnote>
  <w:endnote w:id="16">
    <w:p w14:paraId="09FB8B34" w14:textId="6C963041"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For further information, see FRA’s indicators on Article 19 of the CRPD.</w:t>
      </w:r>
    </w:p>
    <w:p w14:paraId="7341E4AD" w14:textId="77777777" w:rsidR="00E278E4" w:rsidRPr="00D6034E" w:rsidRDefault="00E278E4" w:rsidP="002C3ACE">
      <w:pPr>
        <w:pStyle w:val="EndnoteText"/>
        <w:rPr>
          <w:rFonts w:ascii="Verdana" w:hAnsi="Verdana"/>
          <w:sz w:val="18"/>
          <w:szCs w:val="18"/>
        </w:rPr>
      </w:pPr>
    </w:p>
  </w:endnote>
  <w:endnote w:id="17">
    <w:p w14:paraId="1488EA10" w14:textId="58C61696"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Bulgaria, Regulations for Implementation of Social Assistance Act, 1 June 2010, Article 53a. </w:t>
      </w:r>
    </w:p>
    <w:p w14:paraId="41EEC88B" w14:textId="77777777" w:rsidR="00E278E4" w:rsidRPr="00D6034E" w:rsidRDefault="00E278E4" w:rsidP="002C3ACE">
      <w:pPr>
        <w:pStyle w:val="EndnoteText"/>
        <w:rPr>
          <w:rFonts w:ascii="Verdana" w:hAnsi="Verdana"/>
          <w:sz w:val="18"/>
          <w:szCs w:val="18"/>
        </w:rPr>
      </w:pPr>
    </w:p>
  </w:endnote>
  <w:endnote w:id="18">
    <w:p w14:paraId="7097BFB0" w14:textId="0B52E081"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Latvia, Disability Law </w:t>
      </w:r>
      <w:r>
        <w:rPr>
          <w:rFonts w:ascii="Verdana" w:hAnsi="Verdana"/>
          <w:sz w:val="18"/>
          <w:szCs w:val="18"/>
        </w:rPr>
        <w:t xml:space="preserve">of 20 May 2010, Section 1 (1). </w:t>
      </w:r>
    </w:p>
    <w:p w14:paraId="0090548B" w14:textId="77777777" w:rsidR="00E278E4" w:rsidRPr="00D6034E" w:rsidRDefault="00E278E4" w:rsidP="002C3ACE">
      <w:pPr>
        <w:pStyle w:val="EndnoteText"/>
        <w:rPr>
          <w:rFonts w:ascii="Verdana" w:hAnsi="Verdana"/>
          <w:sz w:val="18"/>
          <w:szCs w:val="18"/>
        </w:rPr>
      </w:pPr>
    </w:p>
  </w:endnote>
  <w:endnote w:id="19">
    <w:p w14:paraId="17477667" w14:textId="0DB65125"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For more information, see: European Network on Independent Living (2015), </w:t>
      </w:r>
      <w:hyperlink r:id="rId15" w:history="1">
        <w:r w:rsidRPr="00D6034E">
          <w:rPr>
            <w:rStyle w:val="Hyperlink"/>
            <w:rFonts w:ascii="Verdana" w:hAnsi="Verdana"/>
            <w:i/>
            <w:sz w:val="18"/>
            <w:szCs w:val="18"/>
          </w:rPr>
          <w:t>Personal assistance services in Europe 2015</w:t>
        </w:r>
      </w:hyperlink>
      <w:r w:rsidRPr="00D6034E">
        <w:rPr>
          <w:rFonts w:ascii="Verdana" w:hAnsi="Verdana"/>
          <w:sz w:val="18"/>
          <w:szCs w:val="18"/>
        </w:rPr>
        <w:t xml:space="preserve"> and Sainsbury, R., Lawson, A., and Priestley, M. (2017), </w:t>
      </w:r>
      <w:hyperlink r:id="rId16" w:history="1">
        <w:r w:rsidRPr="00D6034E">
          <w:rPr>
            <w:rStyle w:val="Hyperlink"/>
            <w:rFonts w:ascii="Verdana" w:hAnsi="Verdana"/>
            <w:i/>
            <w:sz w:val="18"/>
            <w:szCs w:val="18"/>
          </w:rPr>
          <w:t>Social protection for disabled people in Europe: Synthesis report</w:t>
        </w:r>
      </w:hyperlink>
      <w:r w:rsidRPr="00D6034E">
        <w:rPr>
          <w:rFonts w:ascii="Verdana" w:hAnsi="Verdana"/>
          <w:sz w:val="18"/>
          <w:szCs w:val="18"/>
        </w:rPr>
        <w:t xml:space="preserve">, European network of academic experts in the field of disability. </w:t>
      </w:r>
    </w:p>
    <w:p w14:paraId="3C07F605" w14:textId="77777777" w:rsidR="00E278E4" w:rsidRPr="00D6034E" w:rsidRDefault="00E278E4" w:rsidP="002C3ACE">
      <w:pPr>
        <w:pStyle w:val="EndnoteText"/>
        <w:rPr>
          <w:rFonts w:ascii="Verdana" w:hAnsi="Verdana"/>
          <w:sz w:val="18"/>
          <w:szCs w:val="18"/>
        </w:rPr>
      </w:pPr>
    </w:p>
  </w:endnote>
  <w:endnote w:id="20">
    <w:p w14:paraId="685EA2E6" w14:textId="1875E706" w:rsidR="00E278E4" w:rsidRPr="00D6034E" w:rsidRDefault="00E278E4" w:rsidP="002C3ACE">
      <w:pPr>
        <w:pStyle w:val="EndnoteText"/>
        <w:rPr>
          <w:rFonts w:ascii="Verdana" w:hAnsi="Verdana"/>
          <w:sz w:val="18"/>
          <w:szCs w:val="18"/>
          <w:lang w:val="nl-BE"/>
        </w:rPr>
      </w:pPr>
      <w:r w:rsidRPr="00D6034E">
        <w:rPr>
          <w:rStyle w:val="EndnoteReference"/>
          <w:rFonts w:ascii="Verdana" w:hAnsi="Verdana"/>
          <w:sz w:val="18"/>
          <w:szCs w:val="18"/>
        </w:rPr>
        <w:endnoteRef/>
      </w:r>
      <w:r w:rsidRPr="00D6034E">
        <w:rPr>
          <w:rFonts w:ascii="Verdana" w:hAnsi="Verdana"/>
          <w:sz w:val="18"/>
          <w:szCs w:val="18"/>
        </w:rPr>
        <w:t xml:space="preserve"> </w:t>
      </w:r>
      <w:r w:rsidRPr="00D6034E">
        <w:rPr>
          <w:rFonts w:ascii="Verdana" w:hAnsi="Verdana"/>
          <w:sz w:val="18"/>
          <w:szCs w:val="18"/>
          <w:lang w:val="nl-BE"/>
        </w:rPr>
        <w:t>Belgium, Flemish Decree regarding individualised funding for persons with a handicap (</w:t>
      </w:r>
      <w:hyperlink r:id="rId17" w:history="1">
        <w:r w:rsidRPr="00D6034E">
          <w:rPr>
            <w:rStyle w:val="Hyperlink"/>
            <w:rFonts w:ascii="Verdana" w:hAnsi="Verdana"/>
            <w:i/>
            <w:sz w:val="18"/>
            <w:szCs w:val="18"/>
            <w:lang w:val="nl-BE"/>
          </w:rPr>
          <w:t>Decreet houdende de persoonsvolgende financiering voor personen met een handicap en tot hervorming van de wijze van financiering van de zorg en de ondersteuning voor personen met een handicap</w:t>
        </w:r>
      </w:hyperlink>
      <w:r w:rsidRPr="00D6034E">
        <w:rPr>
          <w:rFonts w:ascii="Verdana" w:hAnsi="Verdana"/>
          <w:sz w:val="18"/>
          <w:szCs w:val="18"/>
          <w:lang w:val="nl-BE"/>
        </w:rPr>
        <w:t>), 25 April 2014.</w:t>
      </w:r>
      <w:r w:rsidRPr="00D6034E" w:rsidDel="007E1F14">
        <w:rPr>
          <w:rFonts w:ascii="Verdana" w:hAnsi="Verdana"/>
          <w:sz w:val="18"/>
          <w:szCs w:val="18"/>
          <w:lang w:val="nl-BE"/>
        </w:rPr>
        <w:t xml:space="preserve"> </w:t>
      </w:r>
    </w:p>
    <w:p w14:paraId="7E2CA1E0" w14:textId="77777777" w:rsidR="00E278E4" w:rsidRPr="00D6034E" w:rsidRDefault="00E278E4" w:rsidP="002C3ACE">
      <w:pPr>
        <w:pStyle w:val="EndnoteText"/>
        <w:rPr>
          <w:rFonts w:ascii="Verdana" w:hAnsi="Verdana"/>
          <w:sz w:val="18"/>
          <w:szCs w:val="18"/>
        </w:rPr>
      </w:pPr>
    </w:p>
  </w:endnote>
  <w:endnote w:id="21">
    <w:p w14:paraId="7A2D5C9D" w14:textId="114B0045"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Italy, Law No. 112 of 22 June 2016 on Support measures for persons with disabilities deprived of family support (</w:t>
      </w:r>
      <w:hyperlink r:id="rId18" w:history="1">
        <w:r w:rsidRPr="00D6034E">
          <w:rPr>
            <w:rStyle w:val="Hyperlink"/>
            <w:rFonts w:ascii="Verdana" w:hAnsi="Verdana"/>
            <w:i/>
            <w:sz w:val="18"/>
            <w:szCs w:val="18"/>
          </w:rPr>
          <w:t>Disposizioni in materia di assistenza in favore delle persone con disabilita' grave prive del sostegno familiar</w:t>
        </w:r>
      </w:hyperlink>
      <w:r w:rsidRPr="00D6034E">
        <w:rPr>
          <w:rFonts w:ascii="Verdana" w:hAnsi="Verdana"/>
          <w:sz w:val="18"/>
          <w:szCs w:val="18"/>
        </w:rPr>
        <w:t>).</w:t>
      </w:r>
    </w:p>
    <w:p w14:paraId="55A48A1E" w14:textId="77777777" w:rsidR="00E278E4" w:rsidRPr="00D6034E" w:rsidRDefault="00E278E4" w:rsidP="002C3ACE">
      <w:pPr>
        <w:pStyle w:val="EndnoteText"/>
        <w:rPr>
          <w:rFonts w:ascii="Verdana" w:hAnsi="Verdana"/>
          <w:sz w:val="18"/>
          <w:szCs w:val="18"/>
        </w:rPr>
      </w:pPr>
    </w:p>
  </w:endnote>
  <w:endnote w:id="22">
    <w:p w14:paraId="372CE085" w14:textId="05560E25"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CRPD Committee (2017), </w:t>
      </w:r>
      <w:hyperlink r:id="rId19" w:history="1">
        <w:r w:rsidRPr="00D6034E">
          <w:rPr>
            <w:rStyle w:val="Hyperlink"/>
            <w:rFonts w:ascii="Verdana" w:hAnsi="Verdana"/>
            <w:sz w:val="18"/>
            <w:szCs w:val="18"/>
          </w:rPr>
          <w:t>General Comment No. 5 – Article 19: Living independently and being included in the community</w:t>
        </w:r>
      </w:hyperlink>
      <w:r w:rsidRPr="00D6034E">
        <w:rPr>
          <w:rFonts w:ascii="Verdana" w:hAnsi="Verdana"/>
          <w:sz w:val="18"/>
          <w:szCs w:val="18"/>
        </w:rPr>
        <w:t>, CRPD/C/18/1, 29 August 2017, para. 15.</w:t>
      </w:r>
    </w:p>
    <w:p w14:paraId="24538AC6" w14:textId="77777777" w:rsidR="00E278E4" w:rsidRPr="00D6034E" w:rsidRDefault="00E278E4" w:rsidP="002C3ACE">
      <w:pPr>
        <w:pStyle w:val="EndnoteText"/>
        <w:rPr>
          <w:rFonts w:ascii="Verdana" w:hAnsi="Verdana"/>
          <w:sz w:val="18"/>
          <w:szCs w:val="18"/>
        </w:rPr>
      </w:pPr>
    </w:p>
  </w:endnote>
  <w:endnote w:id="23">
    <w:p w14:paraId="28DF872D" w14:textId="7BF8120B"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See in particular: CRPD Committee (2016), </w:t>
      </w:r>
      <w:hyperlink r:id="rId20" w:history="1">
        <w:r w:rsidRPr="00D6034E">
          <w:rPr>
            <w:rStyle w:val="Hyperlink"/>
            <w:rFonts w:ascii="Verdana" w:hAnsi="Verdana"/>
            <w:i/>
            <w:sz w:val="18"/>
            <w:szCs w:val="18"/>
          </w:rPr>
          <w:t>Inquiry concerning the United Kingdom of Great Britain and Northern Ireland carried out by the Committee under article 6 of the Optional Protocol to the Convention: report of the Committee</w:t>
        </w:r>
      </w:hyperlink>
      <w:r w:rsidRPr="00D6034E">
        <w:rPr>
          <w:rFonts w:ascii="Verdana" w:hAnsi="Verdana"/>
          <w:sz w:val="18"/>
          <w:szCs w:val="18"/>
        </w:rPr>
        <w:t>, CRPD/C/15/R.2/Rev.1.</w:t>
      </w:r>
    </w:p>
    <w:p w14:paraId="33FF9AA8" w14:textId="77777777" w:rsidR="00E278E4" w:rsidRPr="00D6034E" w:rsidRDefault="00E278E4" w:rsidP="002C3ACE">
      <w:pPr>
        <w:pStyle w:val="EndnoteText"/>
        <w:rPr>
          <w:rFonts w:ascii="Verdana" w:hAnsi="Verdana"/>
          <w:sz w:val="18"/>
          <w:szCs w:val="18"/>
        </w:rPr>
      </w:pPr>
    </w:p>
  </w:endnote>
  <w:endnote w:id="24">
    <w:p w14:paraId="6960AAF2" w14:textId="6BE8E72D"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See, for example, the CRPD Committee’s concluding observations on Cyprus, the Czech Republic, Denmark, Germany and Spain. All concluding observations are </w:t>
      </w:r>
      <w:hyperlink r:id="rId21" w:history="1">
        <w:r w:rsidRPr="00D6034E">
          <w:rPr>
            <w:rStyle w:val="Hyperlink"/>
            <w:rFonts w:ascii="Verdana" w:hAnsi="Verdana"/>
            <w:sz w:val="18"/>
            <w:szCs w:val="18"/>
          </w:rPr>
          <w:t>available on the CRPD Committee’s website</w:t>
        </w:r>
      </w:hyperlink>
      <w:r w:rsidRPr="00D6034E">
        <w:rPr>
          <w:rFonts w:ascii="Verdana" w:hAnsi="Verdana"/>
          <w:sz w:val="18"/>
          <w:szCs w:val="18"/>
        </w:rPr>
        <w:t>.</w:t>
      </w:r>
    </w:p>
    <w:p w14:paraId="6FDCF8DE" w14:textId="77777777" w:rsidR="00E278E4" w:rsidRPr="00D6034E" w:rsidRDefault="00E278E4" w:rsidP="002C3ACE">
      <w:pPr>
        <w:pStyle w:val="EndnoteText"/>
        <w:rPr>
          <w:rFonts w:ascii="Verdana" w:hAnsi="Verdana"/>
          <w:sz w:val="18"/>
          <w:szCs w:val="18"/>
        </w:rPr>
      </w:pPr>
    </w:p>
  </w:endnote>
  <w:endnote w:id="25">
    <w:p w14:paraId="06AC266E" w14:textId="71C640AD"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Information on ESIF concerning budgets for deinstitutionalisation is presented in the accompanying paper on funding for deinstitutionalisation processes.</w:t>
      </w:r>
    </w:p>
    <w:p w14:paraId="0B4454B0" w14:textId="77777777" w:rsidR="00E278E4" w:rsidRPr="00D6034E" w:rsidRDefault="00E278E4" w:rsidP="002C3ACE">
      <w:pPr>
        <w:pStyle w:val="EndnoteText"/>
        <w:rPr>
          <w:rFonts w:ascii="Verdana" w:hAnsi="Verdana"/>
          <w:sz w:val="18"/>
          <w:szCs w:val="18"/>
        </w:rPr>
      </w:pPr>
    </w:p>
  </w:endnote>
  <w:endnote w:id="26">
    <w:p w14:paraId="79BD9DB3" w14:textId="398938BC"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For further analysis of the relationship between ESIF and Article 19 of the CRPD, see: Office of the High Commissioner for Human Rights Regional Office for Europe (2012), </w:t>
      </w:r>
      <w:hyperlink r:id="rId22" w:history="1">
        <w:r w:rsidRPr="00D6034E">
          <w:rPr>
            <w:rStyle w:val="Hyperlink"/>
            <w:rFonts w:ascii="Verdana" w:hAnsi="Verdana"/>
            <w:i/>
            <w:sz w:val="18"/>
            <w:szCs w:val="18"/>
          </w:rPr>
          <w:t>Getting a life – living independently and being included in the community</w:t>
        </w:r>
      </w:hyperlink>
      <w:r w:rsidRPr="00D6034E">
        <w:rPr>
          <w:rFonts w:ascii="Verdana" w:hAnsi="Verdana"/>
          <w:i/>
          <w:sz w:val="18"/>
          <w:szCs w:val="18"/>
        </w:rPr>
        <w:t xml:space="preserve">; </w:t>
      </w:r>
      <w:r w:rsidRPr="00D6034E">
        <w:rPr>
          <w:rFonts w:ascii="Verdana" w:hAnsi="Verdana"/>
          <w:sz w:val="18"/>
          <w:szCs w:val="18"/>
        </w:rPr>
        <w:t xml:space="preserve">Open Society Foundations (2012), </w:t>
      </w:r>
      <w:hyperlink r:id="rId23" w:history="1">
        <w:r w:rsidRPr="00D6034E">
          <w:rPr>
            <w:rStyle w:val="Hyperlink"/>
            <w:rFonts w:ascii="Verdana" w:hAnsi="Verdana"/>
            <w:i/>
            <w:sz w:val="18"/>
            <w:szCs w:val="18"/>
          </w:rPr>
          <w:t>The European Union and the right to independent living: structural funds and the European Union’s obligations under the Convention on the Rights of Persons with Disabilities</w:t>
        </w:r>
      </w:hyperlink>
      <w:r w:rsidRPr="00D6034E">
        <w:rPr>
          <w:rFonts w:ascii="Verdana" w:hAnsi="Verdana"/>
          <w:sz w:val="18"/>
          <w:szCs w:val="18"/>
        </w:rPr>
        <w:t xml:space="preserve">, New York, Open Society Foundations; Open Society Foundations (2015), </w:t>
      </w:r>
      <w:hyperlink r:id="rId24" w:history="1">
        <w:r w:rsidRPr="00D6034E">
          <w:rPr>
            <w:rStyle w:val="Hyperlink"/>
            <w:rFonts w:ascii="Verdana" w:hAnsi="Verdana"/>
            <w:i/>
            <w:sz w:val="18"/>
            <w:szCs w:val="18"/>
          </w:rPr>
          <w:t>Community not confinement: the role of the European Union in promoting and protecting the right of people with disabilities to live in the community</w:t>
        </w:r>
      </w:hyperlink>
      <w:r w:rsidRPr="00D6034E">
        <w:rPr>
          <w:rFonts w:ascii="Verdana" w:hAnsi="Verdana"/>
          <w:sz w:val="18"/>
          <w:szCs w:val="18"/>
        </w:rPr>
        <w:t xml:space="preserve">, New York, Open Society Foundations; European Parliament (2016), </w:t>
      </w:r>
      <w:hyperlink r:id="rId25" w:history="1">
        <w:r w:rsidRPr="00D6034E">
          <w:rPr>
            <w:rStyle w:val="Hyperlink"/>
            <w:rFonts w:ascii="Verdana" w:hAnsi="Verdana"/>
            <w:i/>
            <w:iCs/>
            <w:sz w:val="18"/>
            <w:szCs w:val="18"/>
          </w:rPr>
          <w:t>European Structural and Investment Funds and people with disabilities</w:t>
        </w:r>
      </w:hyperlink>
      <w:r w:rsidRPr="00D6034E">
        <w:rPr>
          <w:rStyle w:val="Hyperlink"/>
          <w:rFonts w:ascii="Verdana" w:hAnsi="Verdana"/>
          <w:i/>
          <w:iCs/>
          <w:sz w:val="18"/>
          <w:szCs w:val="18"/>
        </w:rPr>
        <w:t xml:space="preserve"> in the European Union</w:t>
      </w:r>
      <w:r w:rsidRPr="00D6034E">
        <w:rPr>
          <w:rFonts w:ascii="Verdana" w:hAnsi="Verdana"/>
          <w:sz w:val="18"/>
          <w:szCs w:val="18"/>
        </w:rPr>
        <w:t>, Policy department C: citizens’ rights and constitutional affairs.</w:t>
      </w:r>
    </w:p>
    <w:p w14:paraId="5771971D" w14:textId="77777777" w:rsidR="00E278E4" w:rsidRPr="00D6034E" w:rsidRDefault="00E278E4" w:rsidP="002C3ACE">
      <w:pPr>
        <w:pStyle w:val="EndnoteText"/>
        <w:rPr>
          <w:rFonts w:ascii="Verdana" w:hAnsi="Verdana"/>
          <w:sz w:val="18"/>
          <w:szCs w:val="18"/>
        </w:rPr>
      </w:pPr>
    </w:p>
    <w:p w14:paraId="3BBF0FB3" w14:textId="77777777" w:rsidR="00E278E4" w:rsidRPr="00D6034E" w:rsidRDefault="00E278E4" w:rsidP="002C3ACE">
      <w:pPr>
        <w:pStyle w:val="EndnoteText"/>
        <w:rPr>
          <w:rFonts w:ascii="Verdana" w:hAnsi="Verdana"/>
          <w:sz w:val="18"/>
          <w:szCs w:val="18"/>
        </w:rPr>
      </w:pPr>
    </w:p>
  </w:endnote>
  <w:endnote w:id="27">
    <w:p w14:paraId="313D5A80" w14:textId="60524F26"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See the Commission’s </w:t>
      </w:r>
      <w:hyperlink r:id="rId26" w:history="1">
        <w:r w:rsidRPr="00D6034E">
          <w:rPr>
            <w:rStyle w:val="Hyperlink"/>
            <w:rFonts w:ascii="Verdana" w:hAnsi="Verdana"/>
            <w:sz w:val="18"/>
            <w:szCs w:val="18"/>
          </w:rPr>
          <w:t>webpage on these funds</w:t>
        </w:r>
      </w:hyperlink>
      <w:r w:rsidRPr="00D6034E">
        <w:rPr>
          <w:rFonts w:ascii="Verdana" w:hAnsi="Verdana"/>
          <w:sz w:val="18"/>
          <w:szCs w:val="18"/>
        </w:rPr>
        <w:t xml:space="preserve">. </w:t>
      </w:r>
    </w:p>
  </w:endnote>
  <w:endnote w:id="28">
    <w:p w14:paraId="771AA2BB" w14:textId="50B35040"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European Commission (2014), Report on the implementation of the UN Convention on the Rights of Persons with Disabilities by the European Union, SWD(2014) 182 final, Brussels, 5 June 2014, para. 99.</w:t>
      </w:r>
    </w:p>
    <w:p w14:paraId="2BCA098A" w14:textId="77777777" w:rsidR="00E278E4" w:rsidRPr="00D6034E" w:rsidRDefault="00E278E4" w:rsidP="002C3ACE">
      <w:pPr>
        <w:pStyle w:val="EndnoteText"/>
        <w:rPr>
          <w:rFonts w:ascii="Verdana" w:hAnsi="Verdana"/>
          <w:sz w:val="18"/>
          <w:szCs w:val="18"/>
        </w:rPr>
      </w:pPr>
    </w:p>
  </w:endnote>
  <w:endnote w:id="29">
    <w:p w14:paraId="711363AE" w14:textId="0A1A933A"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See, for example: European Coalition for Community Living (ECCL) (2010), </w:t>
      </w:r>
      <w:r w:rsidRPr="00D6034E">
        <w:rPr>
          <w:rFonts w:ascii="Verdana" w:hAnsi="Verdana"/>
          <w:i/>
          <w:sz w:val="18"/>
          <w:szCs w:val="18"/>
        </w:rPr>
        <w:t xml:space="preserve">Wasted money, wasted time, wasted lives…A wasted opportunity? </w:t>
      </w:r>
      <w:r w:rsidRPr="00D6034E">
        <w:rPr>
          <w:rFonts w:ascii="Verdana" w:hAnsi="Verdana"/>
          <w:sz w:val="18"/>
          <w:szCs w:val="18"/>
        </w:rPr>
        <w:t xml:space="preserve">and European Parliament (2016), </w:t>
      </w:r>
      <w:hyperlink r:id="rId27" w:history="1">
        <w:r w:rsidRPr="00D6034E">
          <w:rPr>
            <w:rStyle w:val="Hyperlink"/>
            <w:rFonts w:ascii="Verdana" w:hAnsi="Verdana"/>
            <w:i/>
            <w:iCs/>
            <w:sz w:val="18"/>
            <w:szCs w:val="18"/>
          </w:rPr>
          <w:t>European Structural and Investment Funds and people with disabilities: focus on the situation in Slovakia</w:t>
        </w:r>
      </w:hyperlink>
      <w:r w:rsidRPr="00D6034E">
        <w:rPr>
          <w:rFonts w:ascii="Verdana" w:hAnsi="Verdana"/>
          <w:sz w:val="18"/>
          <w:szCs w:val="18"/>
        </w:rPr>
        <w:t>, Policy department C: citizens’ rights and constitutional affairs.</w:t>
      </w:r>
    </w:p>
    <w:p w14:paraId="00DCBFDD" w14:textId="77777777" w:rsidR="00E278E4" w:rsidRPr="00D6034E" w:rsidRDefault="00E278E4" w:rsidP="002C3ACE">
      <w:pPr>
        <w:pStyle w:val="EndnoteText"/>
        <w:rPr>
          <w:rFonts w:ascii="Verdana" w:hAnsi="Verdana"/>
          <w:sz w:val="18"/>
          <w:szCs w:val="18"/>
        </w:rPr>
      </w:pPr>
    </w:p>
  </w:endnote>
  <w:endnote w:id="30">
    <w:p w14:paraId="0EF9A6B6" w14:textId="32538019"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European Commission (2010), </w:t>
      </w:r>
      <w:hyperlink r:id="rId28" w:history="1">
        <w:r w:rsidRPr="00D6034E">
          <w:rPr>
            <w:rStyle w:val="Hyperlink"/>
            <w:rFonts w:ascii="Verdana" w:hAnsi="Verdana"/>
            <w:i/>
            <w:sz w:val="18"/>
            <w:szCs w:val="18"/>
          </w:rPr>
          <w:t>European Disability Strategy 2010-2020: A renewed commitment to a barrier-free Europe</w:t>
        </w:r>
      </w:hyperlink>
      <w:r w:rsidRPr="00D6034E">
        <w:rPr>
          <w:rFonts w:ascii="Verdana" w:hAnsi="Verdana"/>
          <w:sz w:val="18"/>
          <w:szCs w:val="18"/>
        </w:rPr>
        <w:t>, COM(2010) 636 final, Brussels, 15 November 2010, p. 6.</w:t>
      </w:r>
    </w:p>
    <w:p w14:paraId="2FB934C3" w14:textId="77777777" w:rsidR="00E278E4" w:rsidRPr="00D6034E" w:rsidRDefault="00E278E4" w:rsidP="002C3ACE">
      <w:pPr>
        <w:pStyle w:val="EndnoteText"/>
        <w:rPr>
          <w:rFonts w:ascii="Verdana" w:hAnsi="Verdana"/>
          <w:sz w:val="18"/>
          <w:szCs w:val="18"/>
        </w:rPr>
      </w:pPr>
    </w:p>
  </w:endnote>
  <w:endnote w:id="31">
    <w:p w14:paraId="2A953617" w14:textId="48660C68"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Regulation (EU) No 1303/2013 of the European Parliament and the Council of 17 December 2013 laying down common provisions on the ERDF, the ESF, the CF, the EARFD and the EMFF and laying down general provisions on the ERDF, the ESF, the CF and the EMFF and repealing Council Regulation (EC) No 1083/2006, OJ, L 347, 20.12.2013, Annex XI, p. 320. For further information on ESIF and the ex-ante conditionalities, see Chapter 1 of FRA (2015) </w:t>
      </w:r>
      <w:r w:rsidRPr="00D6034E">
        <w:rPr>
          <w:rFonts w:ascii="Verdana" w:hAnsi="Verdana"/>
          <w:i/>
          <w:sz w:val="18"/>
          <w:szCs w:val="18"/>
        </w:rPr>
        <w:t>Fundamental rights: challenges and achievements in 2014. FRA annual report</w:t>
      </w:r>
      <w:r w:rsidRPr="00D6034E">
        <w:rPr>
          <w:rFonts w:ascii="Verdana" w:hAnsi="Verdana"/>
          <w:sz w:val="18"/>
          <w:szCs w:val="18"/>
        </w:rPr>
        <w:t>, Luxembourg, Publications Office.</w:t>
      </w:r>
    </w:p>
    <w:p w14:paraId="6F29EE83" w14:textId="77777777" w:rsidR="00E278E4" w:rsidRPr="00D6034E" w:rsidRDefault="00E278E4" w:rsidP="002C3ACE">
      <w:pPr>
        <w:pStyle w:val="EndnoteText"/>
        <w:rPr>
          <w:rFonts w:ascii="Verdana" w:hAnsi="Verdana"/>
          <w:sz w:val="18"/>
          <w:szCs w:val="18"/>
        </w:rPr>
      </w:pPr>
    </w:p>
  </w:endnote>
  <w:endnote w:id="32">
    <w:p w14:paraId="371E4F3C" w14:textId="0DF6DD02"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European Commission (2014), </w:t>
      </w:r>
      <w:hyperlink r:id="rId29" w:history="1">
        <w:r w:rsidRPr="00D6034E">
          <w:rPr>
            <w:rStyle w:val="Hyperlink"/>
            <w:rFonts w:ascii="Verdana" w:hAnsi="Verdana"/>
            <w:i/>
            <w:sz w:val="18"/>
            <w:szCs w:val="18"/>
          </w:rPr>
          <w:t>Guidance on Ex ante Conditionalities for the European Structural and Investment Funds: Part 2</w:t>
        </w:r>
      </w:hyperlink>
      <w:r w:rsidRPr="00D6034E">
        <w:rPr>
          <w:rFonts w:ascii="Verdana" w:hAnsi="Verdana"/>
          <w:sz w:val="18"/>
          <w:szCs w:val="18"/>
        </w:rPr>
        <w:t>, p. 259.</w:t>
      </w:r>
    </w:p>
    <w:p w14:paraId="7BDFA4EB" w14:textId="77777777" w:rsidR="00E278E4" w:rsidRPr="00D6034E" w:rsidRDefault="00E278E4" w:rsidP="002C3ACE">
      <w:pPr>
        <w:pStyle w:val="EndnoteText"/>
        <w:rPr>
          <w:rFonts w:ascii="Verdana" w:hAnsi="Verdana"/>
          <w:sz w:val="18"/>
          <w:szCs w:val="18"/>
        </w:rPr>
      </w:pPr>
    </w:p>
  </w:endnote>
  <w:endnote w:id="33">
    <w:p w14:paraId="6A6F9C83" w14:textId="5289466E"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All partnership agreements are available on the </w:t>
      </w:r>
      <w:hyperlink r:id="rId30" w:history="1">
        <w:r w:rsidRPr="00D6034E">
          <w:rPr>
            <w:rStyle w:val="Hyperlink"/>
            <w:rFonts w:ascii="Verdana" w:hAnsi="Verdana"/>
            <w:sz w:val="18"/>
            <w:szCs w:val="18"/>
          </w:rPr>
          <w:t>Commission’s webpage on these agreements</w:t>
        </w:r>
      </w:hyperlink>
      <w:r w:rsidRPr="00D6034E">
        <w:rPr>
          <w:rFonts w:ascii="Verdana" w:hAnsi="Verdana"/>
          <w:sz w:val="18"/>
          <w:szCs w:val="18"/>
        </w:rPr>
        <w:t xml:space="preserve">. </w:t>
      </w:r>
    </w:p>
    <w:p w14:paraId="4DC6B77E" w14:textId="77777777" w:rsidR="00E278E4" w:rsidRPr="00D6034E" w:rsidRDefault="00E278E4" w:rsidP="002C3ACE">
      <w:pPr>
        <w:pStyle w:val="EndnoteText"/>
        <w:rPr>
          <w:rFonts w:ascii="Verdana" w:hAnsi="Verdana"/>
          <w:sz w:val="18"/>
          <w:szCs w:val="18"/>
        </w:rPr>
      </w:pPr>
    </w:p>
  </w:endnote>
  <w:endnote w:id="34">
    <w:p w14:paraId="383C80A6" w14:textId="775FC658"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All the 2017 country-specific recommendations are available on the </w:t>
      </w:r>
      <w:hyperlink r:id="rId31" w:history="1">
        <w:r w:rsidRPr="00D6034E">
          <w:rPr>
            <w:rStyle w:val="Hyperlink"/>
            <w:rFonts w:ascii="Verdana" w:hAnsi="Verdana"/>
            <w:sz w:val="18"/>
            <w:szCs w:val="18"/>
          </w:rPr>
          <w:t>Commission’s webpage on the recommendations</w:t>
        </w:r>
      </w:hyperlink>
      <w:r w:rsidRPr="00D6034E">
        <w:rPr>
          <w:rFonts w:ascii="Verdana" w:hAnsi="Verdana"/>
          <w:sz w:val="18"/>
          <w:szCs w:val="18"/>
        </w:rPr>
        <w:t xml:space="preserve">. </w:t>
      </w:r>
    </w:p>
    <w:p w14:paraId="52A58105" w14:textId="77777777" w:rsidR="00E278E4" w:rsidRPr="00D6034E" w:rsidRDefault="00E278E4" w:rsidP="002C3ACE">
      <w:pPr>
        <w:pStyle w:val="EndnoteText"/>
        <w:rPr>
          <w:rFonts w:ascii="Verdana" w:hAnsi="Verdana"/>
          <w:sz w:val="18"/>
          <w:szCs w:val="18"/>
        </w:rPr>
      </w:pPr>
    </w:p>
  </w:endnote>
  <w:endnote w:id="35">
    <w:p w14:paraId="343CE746" w14:textId="74BF6859"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Greece, Ministry of Development and Competitiveness </w:t>
      </w:r>
      <w:r w:rsidRPr="00D6034E">
        <w:rPr>
          <w:rFonts w:ascii="Verdana" w:hAnsi="Verdana"/>
          <w:i/>
          <w:sz w:val="18"/>
          <w:szCs w:val="18"/>
        </w:rPr>
        <w:t>(</w:t>
      </w:r>
      <w:hyperlink r:id="rId32" w:history="1">
        <w:r w:rsidRPr="00D6034E">
          <w:rPr>
            <w:rStyle w:val="Hyperlink"/>
            <w:rFonts w:ascii="Verdana" w:hAnsi="Verdana"/>
            <w:i/>
            <w:sz w:val="18"/>
            <w:szCs w:val="18"/>
            <w:lang w:val="el-GR" w:eastAsia="el-GR"/>
          </w:rPr>
          <w:t>Υπουργείο</w:t>
        </w:r>
        <w:r w:rsidRPr="00D6034E">
          <w:rPr>
            <w:rStyle w:val="Hyperlink"/>
            <w:rFonts w:ascii="Verdana" w:hAnsi="Verdana"/>
            <w:i/>
            <w:sz w:val="18"/>
            <w:szCs w:val="18"/>
            <w:lang w:eastAsia="el-GR"/>
          </w:rPr>
          <w:t xml:space="preserve"> </w:t>
        </w:r>
        <w:r w:rsidRPr="00D6034E">
          <w:rPr>
            <w:rStyle w:val="Hyperlink"/>
            <w:rFonts w:ascii="Verdana" w:hAnsi="Verdana"/>
            <w:i/>
            <w:sz w:val="18"/>
            <w:szCs w:val="18"/>
            <w:lang w:val="el-GR" w:eastAsia="el-GR"/>
          </w:rPr>
          <w:t>Ανάπτυξης</w:t>
        </w:r>
        <w:r w:rsidRPr="00D6034E">
          <w:rPr>
            <w:rStyle w:val="Hyperlink"/>
            <w:rFonts w:ascii="Verdana" w:hAnsi="Verdana"/>
            <w:i/>
            <w:sz w:val="18"/>
            <w:szCs w:val="18"/>
            <w:lang w:eastAsia="el-GR"/>
          </w:rPr>
          <w:t xml:space="preserve"> </w:t>
        </w:r>
        <w:r w:rsidRPr="00D6034E">
          <w:rPr>
            <w:rStyle w:val="Hyperlink"/>
            <w:rFonts w:ascii="Verdana" w:hAnsi="Verdana"/>
            <w:i/>
            <w:sz w:val="18"/>
            <w:szCs w:val="18"/>
            <w:lang w:val="el-GR" w:eastAsia="el-GR"/>
          </w:rPr>
          <w:t>και</w:t>
        </w:r>
        <w:r w:rsidRPr="00D6034E">
          <w:rPr>
            <w:rStyle w:val="Hyperlink"/>
            <w:rFonts w:ascii="Verdana" w:hAnsi="Verdana"/>
            <w:i/>
            <w:sz w:val="18"/>
            <w:szCs w:val="18"/>
            <w:lang w:eastAsia="el-GR"/>
          </w:rPr>
          <w:t xml:space="preserve"> </w:t>
        </w:r>
        <w:r w:rsidRPr="00D6034E">
          <w:rPr>
            <w:rStyle w:val="Hyperlink"/>
            <w:rFonts w:ascii="Verdana" w:hAnsi="Verdana"/>
            <w:i/>
            <w:sz w:val="18"/>
            <w:szCs w:val="18"/>
            <w:lang w:val="el-GR" w:eastAsia="el-GR"/>
          </w:rPr>
          <w:t>Ανταγωνιστικότητας</w:t>
        </w:r>
        <w:r w:rsidRPr="00D6034E">
          <w:rPr>
            <w:rStyle w:val="Hyperlink"/>
            <w:rFonts w:ascii="Verdana" w:hAnsi="Verdana"/>
            <w:i/>
            <w:sz w:val="18"/>
            <w:szCs w:val="18"/>
            <w:lang w:eastAsia="el-GR"/>
          </w:rPr>
          <w:t>)</w:t>
        </w:r>
        <w:r w:rsidRPr="00D6034E">
          <w:rPr>
            <w:rStyle w:val="Hyperlink"/>
            <w:rFonts w:ascii="Verdana" w:hAnsi="Verdana"/>
            <w:sz w:val="18"/>
            <w:szCs w:val="18"/>
            <w:lang w:eastAsia="el-GR"/>
          </w:rPr>
          <w:t>, Partnerships Agreement 2014-2020 (</w:t>
        </w:r>
        <w:r w:rsidRPr="00D6034E">
          <w:rPr>
            <w:rStyle w:val="Hyperlink"/>
            <w:rFonts w:ascii="Verdana" w:hAnsi="Verdana"/>
            <w:i/>
            <w:iCs/>
            <w:sz w:val="18"/>
            <w:szCs w:val="18"/>
            <w:lang w:val="el-GR" w:eastAsia="el-GR"/>
          </w:rPr>
          <w:t>Σύμφωνο</w:t>
        </w:r>
        <w:r w:rsidRPr="00D6034E">
          <w:rPr>
            <w:rStyle w:val="Hyperlink"/>
            <w:rFonts w:ascii="Verdana" w:hAnsi="Verdana"/>
            <w:i/>
            <w:iCs/>
            <w:sz w:val="18"/>
            <w:szCs w:val="18"/>
            <w:lang w:eastAsia="el-GR"/>
          </w:rPr>
          <w:t xml:space="preserve"> </w:t>
        </w:r>
        <w:r w:rsidRPr="00D6034E">
          <w:rPr>
            <w:rStyle w:val="Hyperlink"/>
            <w:rFonts w:ascii="Verdana" w:hAnsi="Verdana"/>
            <w:i/>
            <w:iCs/>
            <w:sz w:val="18"/>
            <w:szCs w:val="18"/>
            <w:lang w:val="el-GR" w:eastAsia="el-GR"/>
          </w:rPr>
          <w:t>Εταιρικής</w:t>
        </w:r>
        <w:r w:rsidRPr="00D6034E">
          <w:rPr>
            <w:rStyle w:val="Hyperlink"/>
            <w:rFonts w:ascii="Verdana" w:hAnsi="Verdana"/>
            <w:i/>
            <w:iCs/>
            <w:sz w:val="18"/>
            <w:szCs w:val="18"/>
            <w:lang w:eastAsia="el-GR"/>
          </w:rPr>
          <w:t xml:space="preserve"> </w:t>
        </w:r>
        <w:r w:rsidRPr="00D6034E">
          <w:rPr>
            <w:rStyle w:val="Hyperlink"/>
            <w:rFonts w:ascii="Verdana" w:hAnsi="Verdana"/>
            <w:i/>
            <w:iCs/>
            <w:sz w:val="18"/>
            <w:szCs w:val="18"/>
            <w:lang w:val="el-GR" w:eastAsia="el-GR"/>
          </w:rPr>
          <w:t>Σχέσης</w:t>
        </w:r>
        <w:r w:rsidRPr="00D6034E">
          <w:rPr>
            <w:rStyle w:val="Hyperlink"/>
            <w:rFonts w:ascii="Verdana" w:hAnsi="Verdana"/>
            <w:i/>
            <w:iCs/>
            <w:sz w:val="18"/>
            <w:szCs w:val="18"/>
            <w:lang w:eastAsia="el-GR"/>
          </w:rPr>
          <w:t xml:space="preserve"> 2014-2020</w:t>
        </w:r>
      </w:hyperlink>
      <w:r w:rsidRPr="00D6034E">
        <w:rPr>
          <w:rFonts w:ascii="Verdana" w:hAnsi="Verdana"/>
          <w:i/>
          <w:iCs/>
          <w:color w:val="000000"/>
          <w:sz w:val="18"/>
          <w:szCs w:val="18"/>
          <w:lang w:eastAsia="el-GR"/>
        </w:rPr>
        <w:t>)</w:t>
      </w:r>
      <w:r w:rsidRPr="00D6034E">
        <w:rPr>
          <w:rFonts w:ascii="Verdana" w:hAnsi="Verdana"/>
          <w:color w:val="000000"/>
          <w:sz w:val="18"/>
          <w:szCs w:val="18"/>
          <w:lang w:eastAsia="el-GR"/>
        </w:rPr>
        <w:t xml:space="preserve">, </w:t>
      </w:r>
      <w:r w:rsidRPr="00D6034E">
        <w:rPr>
          <w:rFonts w:ascii="Verdana" w:hAnsi="Verdana"/>
          <w:color w:val="000000"/>
          <w:sz w:val="18"/>
          <w:szCs w:val="18"/>
          <w:lang w:val="el-GR" w:eastAsia="el-GR"/>
        </w:rPr>
        <w:t>Μ</w:t>
      </w:r>
      <w:r w:rsidRPr="00D6034E">
        <w:rPr>
          <w:rFonts w:ascii="Verdana" w:hAnsi="Verdana"/>
          <w:color w:val="000000"/>
          <w:sz w:val="18"/>
          <w:szCs w:val="18"/>
          <w:lang w:eastAsia="el-GR"/>
        </w:rPr>
        <w:t>ay 2014, p. 103-106</w:t>
      </w:r>
      <w:r w:rsidRPr="00D6034E">
        <w:rPr>
          <w:rFonts w:ascii="Verdana" w:hAnsi="Verdana"/>
          <w:sz w:val="18"/>
          <w:szCs w:val="18"/>
        </w:rPr>
        <w:t xml:space="preserve">. </w:t>
      </w:r>
    </w:p>
    <w:p w14:paraId="7EF89F95" w14:textId="77777777" w:rsidR="00E278E4" w:rsidRPr="00D6034E" w:rsidRDefault="00E278E4" w:rsidP="002C3ACE">
      <w:pPr>
        <w:pStyle w:val="EndnoteText"/>
        <w:rPr>
          <w:rFonts w:ascii="Verdana" w:hAnsi="Verdana"/>
          <w:sz w:val="18"/>
          <w:szCs w:val="18"/>
        </w:rPr>
      </w:pPr>
    </w:p>
  </w:endnote>
  <w:endnote w:id="36">
    <w:p w14:paraId="78910E9A" w14:textId="6E13104C" w:rsidR="00E278E4" w:rsidRPr="00D6034E" w:rsidRDefault="00E278E4" w:rsidP="002C3ACE">
      <w:pPr>
        <w:rPr>
          <w:rFonts w:ascii="Verdana" w:hAnsi="Verdana"/>
          <w:sz w:val="18"/>
          <w:szCs w:val="18"/>
          <w:lang w:val="da-DK"/>
        </w:rPr>
      </w:pPr>
      <w:r w:rsidRPr="00D6034E">
        <w:rPr>
          <w:rStyle w:val="EndnoteReference"/>
          <w:rFonts w:ascii="Verdana" w:hAnsi="Verdana"/>
          <w:sz w:val="18"/>
          <w:szCs w:val="18"/>
        </w:rPr>
        <w:endnoteRef/>
      </w:r>
      <w:r w:rsidRPr="00D6034E">
        <w:rPr>
          <w:rFonts w:ascii="Verdana" w:hAnsi="Verdana"/>
          <w:sz w:val="18"/>
          <w:szCs w:val="18"/>
          <w:lang w:val="da-DK"/>
        </w:rPr>
        <w:t xml:space="preserve"> Finland (2012), Government Resolution on securing individual housing and services for persons with intellectual disabilities </w:t>
      </w:r>
      <w:r w:rsidRPr="00D6034E">
        <w:rPr>
          <w:rFonts w:ascii="Verdana" w:hAnsi="Verdana"/>
          <w:i/>
          <w:sz w:val="18"/>
          <w:szCs w:val="18"/>
          <w:lang w:val="da-DK"/>
        </w:rPr>
        <w:t>(</w:t>
      </w:r>
      <w:hyperlink r:id="rId33" w:history="1">
        <w:r w:rsidRPr="00D6034E">
          <w:rPr>
            <w:rStyle w:val="Hyperlink"/>
            <w:rFonts w:ascii="Verdana" w:hAnsi="Verdana"/>
            <w:i/>
            <w:sz w:val="18"/>
            <w:szCs w:val="18"/>
            <w:lang w:val="da-DK"/>
          </w:rPr>
          <w:t>Valtioneuvoston periaatepäätös kehitysvammaisten henkilöiden yksilöllisen asumisen ja palvelujen turvaamisesta/Statsrådets principbeslut om tryggande av individuellt boende och tjänster för personen med utvecklingsstörning</w:t>
        </w:r>
      </w:hyperlink>
      <w:r w:rsidRPr="00D6034E">
        <w:rPr>
          <w:rFonts w:ascii="Verdana" w:hAnsi="Verdana"/>
          <w:i/>
          <w:sz w:val="18"/>
          <w:szCs w:val="18"/>
          <w:lang w:val="da-DK"/>
        </w:rPr>
        <w:t>)</w:t>
      </w:r>
      <w:r w:rsidRPr="00D6034E">
        <w:rPr>
          <w:rFonts w:ascii="Verdana" w:hAnsi="Verdana"/>
          <w:sz w:val="18"/>
          <w:szCs w:val="18"/>
          <w:lang w:val="da-DK"/>
        </w:rPr>
        <w:t>.</w:t>
      </w:r>
    </w:p>
  </w:endnote>
  <w:endnote w:id="37">
    <w:p w14:paraId="47F23929" w14:textId="230F1D7A"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Finland (2010), Housing Programme for Persons with Intellectual and Developmental Disabilities 2010-2015, (</w:t>
      </w:r>
      <w:hyperlink r:id="rId34" w:history="1">
        <w:r w:rsidRPr="00D6034E">
          <w:rPr>
            <w:rStyle w:val="Hyperlink"/>
            <w:rFonts w:ascii="Verdana" w:hAnsi="Verdana"/>
            <w:i/>
            <w:iCs/>
            <w:sz w:val="18"/>
            <w:szCs w:val="18"/>
          </w:rPr>
          <w:t>Kehitysvammaisten asumisohjelma</w:t>
        </w:r>
      </w:hyperlink>
      <w:r w:rsidRPr="00D6034E">
        <w:rPr>
          <w:rFonts w:ascii="Verdana" w:hAnsi="Verdana"/>
          <w:sz w:val="18"/>
          <w:szCs w:val="18"/>
        </w:rPr>
        <w:t>).</w:t>
      </w:r>
    </w:p>
    <w:p w14:paraId="01FADA8F" w14:textId="77777777" w:rsidR="00E278E4" w:rsidRPr="00D6034E" w:rsidRDefault="00E278E4" w:rsidP="002C3ACE">
      <w:pPr>
        <w:pStyle w:val="EndnoteText"/>
        <w:rPr>
          <w:rFonts w:ascii="Verdana" w:hAnsi="Verdana"/>
          <w:sz w:val="18"/>
          <w:szCs w:val="18"/>
        </w:rPr>
      </w:pPr>
    </w:p>
  </w:endnote>
  <w:endnote w:id="38">
    <w:p w14:paraId="36AE3239" w14:textId="15EA9F06" w:rsidR="00E278E4" w:rsidRPr="00D6034E" w:rsidRDefault="00E278E4" w:rsidP="002C3ACE">
      <w:pPr>
        <w:pStyle w:val="EndnoteText"/>
        <w:rPr>
          <w:rFonts w:ascii="Verdana" w:hAnsi="Verdana"/>
          <w:i/>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See, for example: European Parliament (2016), </w:t>
      </w:r>
      <w:hyperlink r:id="rId35" w:history="1">
        <w:r w:rsidRPr="00D6034E">
          <w:rPr>
            <w:rStyle w:val="Hyperlink"/>
            <w:rFonts w:ascii="Verdana" w:hAnsi="Verdana"/>
            <w:i/>
            <w:iCs/>
            <w:sz w:val="18"/>
            <w:szCs w:val="18"/>
          </w:rPr>
          <w:t>European Structural and Investment Funds and people with disabilities</w:t>
        </w:r>
      </w:hyperlink>
      <w:r w:rsidRPr="00D6034E">
        <w:rPr>
          <w:rStyle w:val="Hyperlink"/>
          <w:rFonts w:ascii="Verdana" w:hAnsi="Verdana"/>
          <w:i/>
          <w:iCs/>
          <w:sz w:val="18"/>
          <w:szCs w:val="18"/>
        </w:rPr>
        <w:t xml:space="preserve"> in the European Union</w:t>
      </w:r>
      <w:r w:rsidRPr="00D6034E">
        <w:rPr>
          <w:rFonts w:ascii="Verdana" w:hAnsi="Verdana"/>
          <w:sz w:val="18"/>
          <w:szCs w:val="18"/>
        </w:rPr>
        <w:t xml:space="preserve">, Policy department C: citizens’ rights and constitutional affairs; and European Network on Independent Living – European Coalition for Community Living (2016), </w:t>
      </w:r>
      <w:hyperlink r:id="rId36" w:history="1">
        <w:r w:rsidRPr="00D6034E">
          <w:rPr>
            <w:rStyle w:val="Hyperlink"/>
            <w:rFonts w:ascii="Verdana" w:hAnsi="Verdana"/>
            <w:i/>
            <w:sz w:val="18"/>
            <w:szCs w:val="18"/>
          </w:rPr>
          <w:t>Working together to close the gap between rights and reality</w:t>
        </w:r>
      </w:hyperlink>
      <w:r w:rsidRPr="00D6034E">
        <w:rPr>
          <w:rFonts w:ascii="Verdana" w:hAnsi="Verdana"/>
          <w:i/>
          <w:sz w:val="18"/>
          <w:szCs w:val="18"/>
        </w:rPr>
        <w:t>.</w:t>
      </w:r>
    </w:p>
    <w:p w14:paraId="0F9F4065" w14:textId="77777777" w:rsidR="00E278E4" w:rsidRPr="00D6034E" w:rsidRDefault="00E278E4" w:rsidP="002C3ACE">
      <w:pPr>
        <w:pStyle w:val="EndnoteText"/>
        <w:rPr>
          <w:rFonts w:ascii="Verdana" w:hAnsi="Verdana"/>
          <w:sz w:val="18"/>
          <w:szCs w:val="18"/>
        </w:rPr>
      </w:pPr>
    </w:p>
  </w:endnote>
  <w:endnote w:id="39">
    <w:p w14:paraId="5DB246E0" w14:textId="6B762F1E"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United Nations (UN), Committee on the Rights of Persons with Disabilities (2015), </w:t>
      </w:r>
      <w:hyperlink r:id="rId37" w:history="1">
        <w:r w:rsidRPr="00D6034E">
          <w:rPr>
            <w:rStyle w:val="Hyperlink"/>
            <w:rFonts w:ascii="Verdana" w:hAnsi="Verdana"/>
            <w:i/>
            <w:iCs/>
            <w:sz w:val="18"/>
            <w:szCs w:val="18"/>
          </w:rPr>
          <w:t>Concluding observations on the initial report of the European Union</w:t>
        </w:r>
      </w:hyperlink>
      <w:r w:rsidRPr="00D6034E">
        <w:rPr>
          <w:rFonts w:ascii="Verdana" w:hAnsi="Verdana"/>
          <w:i/>
          <w:iCs/>
          <w:sz w:val="18"/>
          <w:szCs w:val="18"/>
        </w:rPr>
        <w:t xml:space="preserve">, </w:t>
      </w:r>
      <w:r w:rsidRPr="00D6034E">
        <w:rPr>
          <w:rFonts w:ascii="Verdana" w:hAnsi="Verdana"/>
          <w:sz w:val="18"/>
          <w:szCs w:val="18"/>
        </w:rPr>
        <w:t>CRPD/C/EU/CO/1, 2 October 2015, para. 50.</w:t>
      </w:r>
    </w:p>
    <w:p w14:paraId="2FFA8D3B" w14:textId="77777777" w:rsidR="00E278E4" w:rsidRPr="00D6034E" w:rsidRDefault="00E278E4" w:rsidP="002C3ACE">
      <w:pPr>
        <w:pStyle w:val="EndnoteText"/>
        <w:rPr>
          <w:rFonts w:ascii="Verdana" w:hAnsi="Verdana"/>
          <w:sz w:val="18"/>
          <w:szCs w:val="18"/>
        </w:rPr>
      </w:pPr>
    </w:p>
  </w:endnote>
  <w:endnote w:id="40">
    <w:p w14:paraId="4F1B55F3" w14:textId="3A08E9AD"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United Nations (UN), Committee on the Rights of Persons with Disabilities (2015), </w:t>
      </w:r>
      <w:hyperlink r:id="rId38" w:history="1">
        <w:r w:rsidRPr="00D6034E">
          <w:rPr>
            <w:rStyle w:val="Hyperlink"/>
            <w:rFonts w:ascii="Verdana" w:hAnsi="Verdana"/>
            <w:i/>
            <w:iCs/>
            <w:sz w:val="18"/>
            <w:szCs w:val="18"/>
          </w:rPr>
          <w:t>Concluding observations on the initial report of the European Union</w:t>
        </w:r>
      </w:hyperlink>
      <w:r w:rsidRPr="00D6034E">
        <w:rPr>
          <w:rFonts w:ascii="Verdana" w:hAnsi="Verdana"/>
          <w:i/>
          <w:iCs/>
          <w:sz w:val="18"/>
          <w:szCs w:val="18"/>
        </w:rPr>
        <w:t xml:space="preserve">, </w:t>
      </w:r>
      <w:r w:rsidRPr="00D6034E">
        <w:rPr>
          <w:rFonts w:ascii="Verdana" w:hAnsi="Verdana"/>
          <w:sz w:val="18"/>
          <w:szCs w:val="18"/>
        </w:rPr>
        <w:t>CRPD/C/EU/CO/1, 2 October 2015, para. 51.</w:t>
      </w:r>
    </w:p>
    <w:p w14:paraId="02F95224" w14:textId="77777777" w:rsidR="00E278E4" w:rsidRPr="00D6034E" w:rsidRDefault="00E278E4" w:rsidP="002C3ACE">
      <w:pPr>
        <w:pStyle w:val="EndnoteText"/>
        <w:rPr>
          <w:rFonts w:ascii="Verdana" w:hAnsi="Verdana"/>
          <w:sz w:val="18"/>
          <w:szCs w:val="18"/>
        </w:rPr>
      </w:pPr>
    </w:p>
  </w:endnote>
  <w:endnote w:id="41">
    <w:p w14:paraId="2C79CB5E" w14:textId="31D0DCB6"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In particular from initiatives such as </w:t>
      </w:r>
      <w:hyperlink r:id="rId39" w:history="1">
        <w:r w:rsidRPr="00D6034E">
          <w:rPr>
            <w:rStyle w:val="Hyperlink"/>
            <w:rFonts w:ascii="Verdana" w:hAnsi="Verdana"/>
            <w:sz w:val="18"/>
            <w:szCs w:val="18"/>
          </w:rPr>
          <w:t>Community Living for Europe: Structural Funds Watch</w:t>
        </w:r>
      </w:hyperlink>
      <w:r w:rsidRPr="00D6034E">
        <w:rPr>
          <w:rFonts w:ascii="Verdana" w:hAnsi="Verdana"/>
          <w:sz w:val="18"/>
          <w:szCs w:val="18"/>
        </w:rPr>
        <w:t>.</w:t>
      </w:r>
    </w:p>
    <w:p w14:paraId="34AFFD59" w14:textId="77777777" w:rsidR="00E278E4" w:rsidRPr="00D6034E" w:rsidRDefault="00E278E4" w:rsidP="002C3ACE">
      <w:pPr>
        <w:pStyle w:val="EndnoteText"/>
        <w:rPr>
          <w:rFonts w:ascii="Verdana" w:hAnsi="Verdana"/>
          <w:sz w:val="18"/>
          <w:szCs w:val="18"/>
        </w:rPr>
      </w:pPr>
    </w:p>
  </w:endnote>
  <w:endnote w:id="42">
    <w:p w14:paraId="65AFB508" w14:textId="5E9717E5"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FRA (2015), </w:t>
      </w:r>
      <w:hyperlink r:id="rId40" w:history="1">
        <w:r w:rsidRPr="00D6034E">
          <w:rPr>
            <w:rStyle w:val="Hyperlink"/>
            <w:rFonts w:ascii="Verdana" w:hAnsi="Verdana"/>
            <w:i/>
            <w:sz w:val="18"/>
            <w:szCs w:val="18"/>
          </w:rPr>
          <w:t>Implementing the UN CRPD: an overview of legal reforms in EU Member States</w:t>
        </w:r>
      </w:hyperlink>
      <w:r w:rsidRPr="00D6034E">
        <w:rPr>
          <w:rFonts w:ascii="Verdana" w:hAnsi="Verdana"/>
          <w:sz w:val="18"/>
          <w:szCs w:val="18"/>
        </w:rPr>
        <w:t>. See also FRA’s annual Fundamental Rights Reports.</w:t>
      </w:r>
    </w:p>
    <w:p w14:paraId="51FDC603" w14:textId="77777777" w:rsidR="00E278E4" w:rsidRPr="00D6034E" w:rsidRDefault="00E278E4" w:rsidP="002C3ACE">
      <w:pPr>
        <w:pStyle w:val="EndnoteText"/>
        <w:rPr>
          <w:rFonts w:ascii="Verdana" w:hAnsi="Verdana"/>
          <w:sz w:val="18"/>
          <w:szCs w:val="18"/>
        </w:rPr>
      </w:pPr>
    </w:p>
  </w:endnote>
  <w:endnote w:id="43">
    <w:p w14:paraId="5EDB0133" w14:textId="77777777"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CRPD Committee (2017), </w:t>
      </w:r>
      <w:hyperlink r:id="rId41" w:history="1">
        <w:r w:rsidRPr="00D6034E">
          <w:rPr>
            <w:rStyle w:val="Hyperlink"/>
            <w:rFonts w:ascii="Verdana" w:hAnsi="Verdana"/>
            <w:sz w:val="18"/>
            <w:szCs w:val="18"/>
          </w:rPr>
          <w:t>General Comment No. 5 – Article 19: Living independently and being included in the community</w:t>
        </w:r>
      </w:hyperlink>
      <w:r w:rsidRPr="00D6034E">
        <w:rPr>
          <w:rFonts w:ascii="Verdana" w:hAnsi="Verdana"/>
          <w:sz w:val="18"/>
          <w:szCs w:val="18"/>
        </w:rPr>
        <w:t>, CRPD/C/18/1, 29 August 2017, para. 15 (e).</w:t>
      </w:r>
    </w:p>
    <w:p w14:paraId="440AD140" w14:textId="12C9E4CF" w:rsidR="00E278E4" w:rsidRPr="00D6034E" w:rsidRDefault="00E278E4" w:rsidP="002C3ACE">
      <w:pPr>
        <w:pStyle w:val="EndnoteText"/>
        <w:rPr>
          <w:rFonts w:ascii="Verdana" w:hAnsi="Verdana"/>
          <w:sz w:val="18"/>
          <w:szCs w:val="18"/>
        </w:rPr>
      </w:pPr>
      <w:r w:rsidRPr="00D6034E">
        <w:rPr>
          <w:rFonts w:ascii="Verdana" w:hAnsi="Verdana"/>
          <w:sz w:val="18"/>
          <w:szCs w:val="18"/>
        </w:rPr>
        <w:t xml:space="preserve"> </w:t>
      </w:r>
    </w:p>
  </w:endnote>
  <w:endnote w:id="44">
    <w:p w14:paraId="4A27FCE7" w14:textId="665BA686" w:rsidR="00E278E4" w:rsidRPr="00D6034E" w:rsidRDefault="00E278E4" w:rsidP="002C3ACE">
      <w:pPr>
        <w:pStyle w:val="EndnoteText"/>
        <w:rPr>
          <w:rFonts w:ascii="Verdana" w:hAnsi="Verdana"/>
          <w:sz w:val="18"/>
          <w:szCs w:val="18"/>
        </w:rPr>
      </w:pPr>
      <w:r w:rsidRPr="00D6034E">
        <w:rPr>
          <w:rFonts w:ascii="Verdana" w:hAnsi="Verdana"/>
          <w:sz w:val="18"/>
          <w:szCs w:val="18"/>
          <w:vertAlign w:val="superscript"/>
        </w:rPr>
        <w:endnoteRef/>
      </w:r>
      <w:r w:rsidRPr="00D6034E">
        <w:rPr>
          <w:rFonts w:ascii="Verdana" w:hAnsi="Verdana"/>
          <w:sz w:val="18"/>
          <w:szCs w:val="18"/>
        </w:rPr>
        <w:t xml:space="preserve"> United Nations General Assembly (2014), Thematic study on the right of persons with disabilities to live independently and be included in the community: report of the Office of the United Nations High Commissioner for Human Rights, A/HRC/28/37, 12 December 2014, para. 25. See, for example, the Committee’s concluding observations on Austria (CRPD/C/AUT/CO/1) and Hungary (CRPD/C/HUN/CO/1).</w:t>
      </w:r>
    </w:p>
    <w:p w14:paraId="65104DE6" w14:textId="77777777" w:rsidR="00E278E4" w:rsidRPr="00D6034E" w:rsidRDefault="00E278E4" w:rsidP="002C3ACE">
      <w:pPr>
        <w:pStyle w:val="EndnoteText"/>
        <w:rPr>
          <w:rFonts w:ascii="Verdana" w:hAnsi="Verdana"/>
          <w:sz w:val="18"/>
          <w:szCs w:val="18"/>
        </w:rPr>
      </w:pPr>
    </w:p>
  </w:endnote>
  <w:endnote w:id="45">
    <w:p w14:paraId="17DACAA5" w14:textId="3D896DFC"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Much more detailed information is available in FRA’s indicators on Article 19 of the CRPD.</w:t>
      </w:r>
    </w:p>
    <w:p w14:paraId="77D267E2" w14:textId="77777777" w:rsidR="00E278E4" w:rsidRPr="00D6034E" w:rsidRDefault="00E278E4" w:rsidP="002C3ACE">
      <w:pPr>
        <w:pStyle w:val="EndnoteText"/>
        <w:rPr>
          <w:rFonts w:ascii="Verdana" w:hAnsi="Verdana"/>
          <w:sz w:val="18"/>
          <w:szCs w:val="18"/>
        </w:rPr>
      </w:pPr>
    </w:p>
  </w:endnote>
  <w:endnote w:id="46">
    <w:p w14:paraId="464B20F2" w14:textId="3DB1E4F6" w:rsidR="00E278E4" w:rsidRPr="00D6034E" w:rsidRDefault="00E278E4" w:rsidP="002C3ACE">
      <w:pPr>
        <w:rPr>
          <w:rFonts w:ascii="Verdana" w:hAnsi="Verdana"/>
          <w:noProof/>
          <w:sz w:val="18"/>
          <w:szCs w:val="18"/>
          <w:lang w:val="bg-BG"/>
        </w:rPr>
      </w:pPr>
      <w:r w:rsidRPr="00D6034E">
        <w:rPr>
          <w:rStyle w:val="EndnoteReference"/>
          <w:rFonts w:ascii="Verdana" w:hAnsi="Verdana"/>
          <w:noProof/>
          <w:sz w:val="18"/>
          <w:szCs w:val="18"/>
        </w:rPr>
        <w:endnoteRef/>
      </w:r>
      <w:r w:rsidRPr="00D6034E">
        <w:rPr>
          <w:rFonts w:ascii="Verdana" w:hAnsi="Verdana"/>
          <w:noProof/>
          <w:sz w:val="18"/>
          <w:szCs w:val="18"/>
          <w:lang w:val="bg-BG"/>
        </w:rPr>
        <w:t xml:space="preserve"> </w:t>
      </w:r>
      <w:r w:rsidRPr="00D6034E">
        <w:rPr>
          <w:rFonts w:ascii="Verdana" w:hAnsi="Verdana"/>
          <w:noProof/>
          <w:sz w:val="18"/>
          <w:szCs w:val="18"/>
        </w:rPr>
        <w:t>Bulgaria</w:t>
      </w:r>
      <w:r w:rsidRPr="00D6034E">
        <w:rPr>
          <w:rFonts w:ascii="Verdana" w:hAnsi="Verdana"/>
          <w:noProof/>
          <w:sz w:val="18"/>
          <w:szCs w:val="18"/>
          <w:lang w:val="bg-BG"/>
        </w:rPr>
        <w:t xml:space="preserve">, </w:t>
      </w:r>
      <w:r w:rsidRPr="00D6034E">
        <w:rPr>
          <w:rFonts w:ascii="Verdana" w:hAnsi="Verdana"/>
          <w:noProof/>
          <w:sz w:val="18"/>
          <w:szCs w:val="18"/>
        </w:rPr>
        <w:t>Council</w:t>
      </w:r>
      <w:r w:rsidRPr="00D6034E">
        <w:rPr>
          <w:rFonts w:ascii="Verdana" w:hAnsi="Verdana"/>
          <w:noProof/>
          <w:sz w:val="18"/>
          <w:szCs w:val="18"/>
          <w:lang w:val="bg-BG"/>
        </w:rPr>
        <w:t xml:space="preserve"> </w:t>
      </w:r>
      <w:r w:rsidRPr="00D6034E">
        <w:rPr>
          <w:rFonts w:ascii="Verdana" w:hAnsi="Verdana"/>
          <w:noProof/>
          <w:sz w:val="18"/>
          <w:szCs w:val="18"/>
        </w:rPr>
        <w:t>of</w:t>
      </w:r>
      <w:r w:rsidRPr="00D6034E">
        <w:rPr>
          <w:rFonts w:ascii="Verdana" w:hAnsi="Verdana"/>
          <w:noProof/>
          <w:sz w:val="18"/>
          <w:szCs w:val="18"/>
          <w:lang w:val="bg-BG"/>
        </w:rPr>
        <w:t xml:space="preserve"> </w:t>
      </w:r>
      <w:r w:rsidRPr="00D6034E">
        <w:rPr>
          <w:rFonts w:ascii="Verdana" w:hAnsi="Verdana"/>
          <w:noProof/>
          <w:sz w:val="18"/>
          <w:szCs w:val="18"/>
        </w:rPr>
        <w:t>Ministers</w:t>
      </w:r>
      <w:r w:rsidRPr="00D6034E">
        <w:rPr>
          <w:rFonts w:ascii="Verdana" w:hAnsi="Verdana"/>
          <w:noProof/>
          <w:sz w:val="18"/>
          <w:szCs w:val="18"/>
          <w:lang w:val="bg-BG"/>
        </w:rPr>
        <w:t xml:space="preserve"> (</w:t>
      </w:r>
      <w:r w:rsidRPr="00D6034E">
        <w:rPr>
          <w:rFonts w:ascii="Verdana" w:hAnsi="Verdana"/>
          <w:i/>
          <w:noProof/>
          <w:sz w:val="18"/>
          <w:szCs w:val="18"/>
          <w:lang w:val="bg-BG"/>
        </w:rPr>
        <w:t>Министерски съвет</w:t>
      </w:r>
      <w:r w:rsidRPr="00D6034E">
        <w:rPr>
          <w:rFonts w:ascii="Verdana" w:hAnsi="Verdana"/>
          <w:noProof/>
          <w:sz w:val="18"/>
          <w:szCs w:val="18"/>
          <w:lang w:val="bg-BG"/>
        </w:rPr>
        <w:t xml:space="preserve">) (2010), </w:t>
      </w:r>
      <w:r w:rsidRPr="00D6034E">
        <w:rPr>
          <w:rFonts w:ascii="Verdana" w:hAnsi="Verdana"/>
          <w:noProof/>
          <w:sz w:val="18"/>
          <w:szCs w:val="18"/>
        </w:rPr>
        <w:t>Action</w:t>
      </w:r>
      <w:r w:rsidRPr="00D6034E">
        <w:rPr>
          <w:rFonts w:ascii="Verdana" w:hAnsi="Verdana"/>
          <w:noProof/>
          <w:sz w:val="18"/>
          <w:szCs w:val="18"/>
          <w:lang w:val="bg-BG"/>
        </w:rPr>
        <w:t xml:space="preserve"> </w:t>
      </w:r>
      <w:r w:rsidRPr="00D6034E">
        <w:rPr>
          <w:rFonts w:ascii="Verdana" w:hAnsi="Verdana"/>
          <w:noProof/>
          <w:sz w:val="18"/>
          <w:szCs w:val="18"/>
        </w:rPr>
        <w:t>plan</w:t>
      </w:r>
      <w:r w:rsidRPr="00D6034E">
        <w:rPr>
          <w:rFonts w:ascii="Verdana" w:hAnsi="Verdana"/>
          <w:noProof/>
          <w:sz w:val="18"/>
          <w:szCs w:val="18"/>
          <w:lang w:val="bg-BG"/>
        </w:rPr>
        <w:t xml:space="preserve"> </w:t>
      </w:r>
      <w:r w:rsidRPr="00D6034E">
        <w:rPr>
          <w:rFonts w:ascii="Verdana" w:hAnsi="Verdana"/>
          <w:noProof/>
          <w:sz w:val="18"/>
          <w:szCs w:val="18"/>
        </w:rPr>
        <w:t>for</w:t>
      </w:r>
      <w:r w:rsidRPr="00D6034E">
        <w:rPr>
          <w:rFonts w:ascii="Verdana" w:hAnsi="Verdana"/>
          <w:noProof/>
          <w:sz w:val="18"/>
          <w:szCs w:val="18"/>
          <w:lang w:val="bg-BG"/>
        </w:rPr>
        <w:t xml:space="preserve"> </w:t>
      </w:r>
      <w:r w:rsidRPr="00D6034E">
        <w:rPr>
          <w:rFonts w:ascii="Verdana" w:hAnsi="Verdana"/>
          <w:noProof/>
          <w:sz w:val="18"/>
          <w:szCs w:val="18"/>
        </w:rPr>
        <w:t>the</w:t>
      </w:r>
      <w:r w:rsidRPr="00D6034E">
        <w:rPr>
          <w:rFonts w:ascii="Verdana" w:hAnsi="Verdana"/>
          <w:noProof/>
          <w:sz w:val="18"/>
          <w:szCs w:val="18"/>
          <w:lang w:val="bg-BG"/>
        </w:rPr>
        <w:t xml:space="preserve"> </w:t>
      </w:r>
      <w:r w:rsidRPr="00D6034E">
        <w:rPr>
          <w:rFonts w:ascii="Verdana" w:hAnsi="Verdana"/>
          <w:noProof/>
          <w:sz w:val="18"/>
          <w:szCs w:val="18"/>
        </w:rPr>
        <w:t>implementation</w:t>
      </w:r>
      <w:r w:rsidRPr="00D6034E">
        <w:rPr>
          <w:rFonts w:ascii="Verdana" w:hAnsi="Verdana"/>
          <w:noProof/>
          <w:sz w:val="18"/>
          <w:szCs w:val="18"/>
          <w:lang w:val="bg-BG"/>
        </w:rPr>
        <w:t xml:space="preserve"> </w:t>
      </w:r>
      <w:r w:rsidRPr="00D6034E">
        <w:rPr>
          <w:rFonts w:ascii="Verdana" w:hAnsi="Verdana"/>
          <w:noProof/>
          <w:sz w:val="18"/>
          <w:szCs w:val="18"/>
        </w:rPr>
        <w:t>of</w:t>
      </w:r>
      <w:r w:rsidRPr="00D6034E">
        <w:rPr>
          <w:rFonts w:ascii="Verdana" w:hAnsi="Verdana"/>
          <w:noProof/>
          <w:sz w:val="18"/>
          <w:szCs w:val="18"/>
          <w:lang w:val="bg-BG"/>
        </w:rPr>
        <w:t xml:space="preserve"> </w:t>
      </w:r>
      <w:r w:rsidRPr="00D6034E">
        <w:rPr>
          <w:rFonts w:ascii="Verdana" w:hAnsi="Verdana"/>
          <w:noProof/>
          <w:sz w:val="18"/>
          <w:szCs w:val="18"/>
        </w:rPr>
        <w:t>the</w:t>
      </w:r>
      <w:r w:rsidRPr="00D6034E">
        <w:rPr>
          <w:rFonts w:ascii="Verdana" w:hAnsi="Verdana"/>
          <w:noProof/>
          <w:sz w:val="18"/>
          <w:szCs w:val="18"/>
          <w:lang w:val="bg-BG"/>
        </w:rPr>
        <w:t xml:space="preserve"> </w:t>
      </w:r>
      <w:r w:rsidRPr="00D6034E">
        <w:rPr>
          <w:rFonts w:ascii="Verdana" w:hAnsi="Verdana"/>
          <w:noProof/>
          <w:sz w:val="18"/>
          <w:szCs w:val="18"/>
        </w:rPr>
        <w:t>national</w:t>
      </w:r>
      <w:r w:rsidRPr="00D6034E">
        <w:rPr>
          <w:rFonts w:ascii="Verdana" w:hAnsi="Verdana"/>
          <w:noProof/>
          <w:sz w:val="18"/>
          <w:szCs w:val="18"/>
          <w:lang w:val="bg-BG"/>
        </w:rPr>
        <w:t xml:space="preserve"> </w:t>
      </w:r>
      <w:r w:rsidRPr="00D6034E">
        <w:rPr>
          <w:rFonts w:ascii="Verdana" w:hAnsi="Verdana"/>
          <w:noProof/>
          <w:sz w:val="18"/>
          <w:szCs w:val="18"/>
        </w:rPr>
        <w:t>strategy</w:t>
      </w:r>
      <w:r w:rsidRPr="00D6034E">
        <w:rPr>
          <w:rFonts w:ascii="Verdana" w:hAnsi="Verdana"/>
          <w:noProof/>
          <w:sz w:val="18"/>
          <w:szCs w:val="18"/>
          <w:lang w:val="bg-BG"/>
        </w:rPr>
        <w:t xml:space="preserve"> ‘</w:t>
      </w:r>
      <w:r w:rsidRPr="00D6034E">
        <w:rPr>
          <w:rFonts w:ascii="Verdana" w:hAnsi="Verdana"/>
          <w:noProof/>
          <w:sz w:val="18"/>
          <w:szCs w:val="18"/>
        </w:rPr>
        <w:t>Vision</w:t>
      </w:r>
      <w:r w:rsidRPr="00D6034E">
        <w:rPr>
          <w:rFonts w:ascii="Verdana" w:hAnsi="Verdana"/>
          <w:noProof/>
          <w:sz w:val="18"/>
          <w:szCs w:val="18"/>
          <w:lang w:val="bg-BG"/>
        </w:rPr>
        <w:t xml:space="preserve"> </w:t>
      </w:r>
      <w:r w:rsidRPr="00D6034E">
        <w:rPr>
          <w:rFonts w:ascii="Verdana" w:hAnsi="Verdana"/>
          <w:noProof/>
          <w:sz w:val="18"/>
          <w:szCs w:val="18"/>
        </w:rPr>
        <w:t>for</w:t>
      </w:r>
      <w:r w:rsidRPr="00D6034E">
        <w:rPr>
          <w:rFonts w:ascii="Verdana" w:hAnsi="Verdana"/>
          <w:noProof/>
          <w:sz w:val="18"/>
          <w:szCs w:val="18"/>
          <w:lang w:val="bg-BG"/>
        </w:rPr>
        <w:t xml:space="preserve"> </w:t>
      </w:r>
      <w:r w:rsidRPr="00D6034E">
        <w:rPr>
          <w:rFonts w:ascii="Verdana" w:hAnsi="Verdana"/>
          <w:noProof/>
          <w:sz w:val="18"/>
          <w:szCs w:val="18"/>
        </w:rPr>
        <w:t>the</w:t>
      </w:r>
      <w:r w:rsidRPr="00D6034E">
        <w:rPr>
          <w:rFonts w:ascii="Verdana" w:hAnsi="Verdana"/>
          <w:noProof/>
          <w:sz w:val="18"/>
          <w:szCs w:val="18"/>
          <w:lang w:val="bg-BG"/>
        </w:rPr>
        <w:t xml:space="preserve"> </w:t>
      </w:r>
      <w:r w:rsidRPr="00D6034E">
        <w:rPr>
          <w:rFonts w:ascii="Verdana" w:hAnsi="Verdana"/>
          <w:noProof/>
          <w:sz w:val="18"/>
          <w:szCs w:val="18"/>
        </w:rPr>
        <w:t>Deinstitutionalisation</w:t>
      </w:r>
      <w:r w:rsidRPr="00D6034E">
        <w:rPr>
          <w:rFonts w:ascii="Verdana" w:hAnsi="Verdana"/>
          <w:noProof/>
          <w:sz w:val="18"/>
          <w:szCs w:val="18"/>
          <w:lang w:val="bg-BG"/>
        </w:rPr>
        <w:t xml:space="preserve"> </w:t>
      </w:r>
      <w:r w:rsidRPr="00D6034E">
        <w:rPr>
          <w:rFonts w:ascii="Verdana" w:hAnsi="Verdana"/>
          <w:noProof/>
          <w:sz w:val="18"/>
          <w:szCs w:val="18"/>
        </w:rPr>
        <w:t>of</w:t>
      </w:r>
      <w:r w:rsidRPr="00D6034E">
        <w:rPr>
          <w:rFonts w:ascii="Verdana" w:hAnsi="Verdana"/>
          <w:noProof/>
          <w:sz w:val="18"/>
          <w:szCs w:val="18"/>
          <w:lang w:val="bg-BG"/>
        </w:rPr>
        <w:t xml:space="preserve"> </w:t>
      </w:r>
      <w:r w:rsidRPr="00D6034E">
        <w:rPr>
          <w:rFonts w:ascii="Verdana" w:hAnsi="Verdana"/>
          <w:noProof/>
          <w:sz w:val="18"/>
          <w:szCs w:val="18"/>
        </w:rPr>
        <w:t>Children</w:t>
      </w:r>
      <w:r w:rsidRPr="00D6034E">
        <w:rPr>
          <w:rFonts w:ascii="Verdana" w:hAnsi="Verdana"/>
          <w:noProof/>
          <w:sz w:val="18"/>
          <w:szCs w:val="18"/>
          <w:lang w:val="bg-BG"/>
        </w:rPr>
        <w:t xml:space="preserve"> </w:t>
      </w:r>
      <w:r w:rsidRPr="00D6034E">
        <w:rPr>
          <w:rFonts w:ascii="Verdana" w:hAnsi="Verdana"/>
          <w:noProof/>
          <w:sz w:val="18"/>
          <w:szCs w:val="18"/>
        </w:rPr>
        <w:t>in</w:t>
      </w:r>
      <w:r w:rsidRPr="00D6034E">
        <w:rPr>
          <w:rFonts w:ascii="Verdana" w:hAnsi="Verdana"/>
          <w:noProof/>
          <w:sz w:val="18"/>
          <w:szCs w:val="18"/>
          <w:lang w:val="bg-BG"/>
        </w:rPr>
        <w:t xml:space="preserve"> </w:t>
      </w:r>
      <w:r w:rsidRPr="00D6034E">
        <w:rPr>
          <w:rFonts w:ascii="Verdana" w:hAnsi="Verdana"/>
          <w:noProof/>
          <w:sz w:val="18"/>
          <w:szCs w:val="18"/>
        </w:rPr>
        <w:t>the</w:t>
      </w:r>
      <w:r w:rsidRPr="00D6034E">
        <w:rPr>
          <w:rFonts w:ascii="Verdana" w:hAnsi="Verdana"/>
          <w:noProof/>
          <w:sz w:val="18"/>
          <w:szCs w:val="18"/>
          <w:lang w:val="bg-BG"/>
        </w:rPr>
        <w:t xml:space="preserve"> </w:t>
      </w:r>
      <w:r w:rsidRPr="00D6034E">
        <w:rPr>
          <w:rFonts w:ascii="Verdana" w:hAnsi="Verdana"/>
          <w:noProof/>
          <w:sz w:val="18"/>
          <w:szCs w:val="18"/>
        </w:rPr>
        <w:t>Republic</w:t>
      </w:r>
      <w:r w:rsidRPr="00D6034E">
        <w:rPr>
          <w:rFonts w:ascii="Verdana" w:hAnsi="Verdana"/>
          <w:noProof/>
          <w:sz w:val="18"/>
          <w:szCs w:val="18"/>
          <w:lang w:val="bg-BG"/>
        </w:rPr>
        <w:t xml:space="preserve"> </w:t>
      </w:r>
      <w:r w:rsidRPr="00D6034E">
        <w:rPr>
          <w:rFonts w:ascii="Verdana" w:hAnsi="Verdana"/>
          <w:noProof/>
          <w:sz w:val="18"/>
          <w:szCs w:val="18"/>
        </w:rPr>
        <w:t>of</w:t>
      </w:r>
      <w:r w:rsidRPr="00D6034E">
        <w:rPr>
          <w:rFonts w:ascii="Verdana" w:hAnsi="Verdana"/>
          <w:noProof/>
          <w:sz w:val="18"/>
          <w:szCs w:val="18"/>
          <w:lang w:val="bg-BG"/>
        </w:rPr>
        <w:t xml:space="preserve"> </w:t>
      </w:r>
      <w:r w:rsidRPr="00D6034E">
        <w:rPr>
          <w:rFonts w:ascii="Verdana" w:hAnsi="Verdana"/>
          <w:noProof/>
          <w:sz w:val="18"/>
          <w:szCs w:val="18"/>
        </w:rPr>
        <w:t>Bulgaria</w:t>
      </w:r>
      <w:r w:rsidRPr="00D6034E">
        <w:rPr>
          <w:rFonts w:ascii="Verdana" w:hAnsi="Verdana"/>
          <w:noProof/>
          <w:sz w:val="18"/>
          <w:szCs w:val="18"/>
          <w:lang w:val="bg-BG"/>
        </w:rPr>
        <w:t xml:space="preserve"> (</w:t>
      </w:r>
      <w:hyperlink r:id="rId42" w:history="1">
        <w:r w:rsidRPr="00D6034E">
          <w:rPr>
            <w:rStyle w:val="Hyperlink"/>
            <w:rFonts w:ascii="Verdana" w:hAnsi="Verdana"/>
            <w:i/>
            <w:noProof/>
            <w:sz w:val="18"/>
            <w:szCs w:val="18"/>
            <w:lang w:val="bg-BG"/>
          </w:rPr>
          <w:t>План за действие за изпълнение на Националната стратегия „Визия за деинституционализация на децата в Република България</w:t>
        </w:r>
      </w:hyperlink>
      <w:r w:rsidRPr="00D6034E">
        <w:rPr>
          <w:rFonts w:ascii="Verdana" w:hAnsi="Verdana"/>
          <w:noProof/>
          <w:sz w:val="18"/>
          <w:szCs w:val="18"/>
          <w:lang w:val="bg-BG"/>
        </w:rPr>
        <w:t xml:space="preserve">), 24 </w:t>
      </w:r>
      <w:r w:rsidRPr="00D6034E">
        <w:rPr>
          <w:rFonts w:ascii="Verdana" w:hAnsi="Verdana"/>
          <w:noProof/>
          <w:sz w:val="18"/>
          <w:szCs w:val="18"/>
        </w:rPr>
        <w:t>November</w:t>
      </w:r>
      <w:r w:rsidRPr="00D6034E">
        <w:rPr>
          <w:rFonts w:ascii="Verdana" w:hAnsi="Verdana"/>
          <w:noProof/>
          <w:sz w:val="18"/>
          <w:szCs w:val="18"/>
          <w:lang w:val="bg-BG"/>
        </w:rPr>
        <w:t xml:space="preserve"> 2010, </w:t>
      </w:r>
      <w:r w:rsidRPr="00D6034E">
        <w:rPr>
          <w:rFonts w:ascii="Verdana" w:hAnsi="Verdana"/>
          <w:noProof/>
          <w:sz w:val="18"/>
          <w:szCs w:val="18"/>
        </w:rPr>
        <w:t>p. </w:t>
      </w:r>
      <w:r w:rsidRPr="00D6034E">
        <w:rPr>
          <w:rFonts w:ascii="Verdana" w:hAnsi="Verdana"/>
          <w:noProof/>
          <w:sz w:val="18"/>
          <w:szCs w:val="18"/>
          <w:lang w:val="bg-BG"/>
        </w:rPr>
        <w:t>7.</w:t>
      </w:r>
    </w:p>
  </w:endnote>
  <w:endnote w:id="47">
    <w:p w14:paraId="11F7AF4F" w14:textId="4B3BC851" w:rsidR="00E278E4" w:rsidRPr="00D6034E" w:rsidRDefault="00E278E4" w:rsidP="002C3ACE">
      <w:pPr>
        <w:pStyle w:val="EndnoteText"/>
        <w:rPr>
          <w:rFonts w:ascii="Verdana" w:hAnsi="Verdana"/>
          <w:sz w:val="18"/>
          <w:szCs w:val="18"/>
          <w:lang w:bidi="en-US"/>
        </w:rPr>
      </w:pPr>
      <w:r w:rsidRPr="00D6034E">
        <w:rPr>
          <w:rStyle w:val="EndnoteReference"/>
          <w:rFonts w:ascii="Verdana" w:hAnsi="Verdana"/>
          <w:sz w:val="18"/>
          <w:szCs w:val="18"/>
        </w:rPr>
        <w:endnoteRef/>
      </w:r>
      <w:r w:rsidRPr="00D6034E">
        <w:rPr>
          <w:rFonts w:ascii="Verdana" w:hAnsi="Verdana"/>
          <w:sz w:val="18"/>
          <w:szCs w:val="18"/>
        </w:rPr>
        <w:t xml:space="preserve"> Estonia, Ministry of Social Affairs (</w:t>
      </w:r>
      <w:r w:rsidRPr="00D6034E">
        <w:rPr>
          <w:rFonts w:ascii="Verdana" w:hAnsi="Verdana"/>
          <w:i/>
          <w:sz w:val="18"/>
          <w:szCs w:val="18"/>
          <w:lang w:bidi="en-US"/>
        </w:rPr>
        <w:t>Sotsiaalministeerium</w:t>
      </w:r>
      <w:r w:rsidRPr="00D6034E">
        <w:rPr>
          <w:rFonts w:ascii="Verdana" w:hAnsi="Verdana"/>
          <w:sz w:val="18"/>
          <w:szCs w:val="18"/>
          <w:lang w:bidi="en-US"/>
        </w:rPr>
        <w:t xml:space="preserve">) (2014), </w:t>
      </w:r>
      <w:hyperlink r:id="rId43" w:history="1">
        <w:r w:rsidRPr="00D6034E">
          <w:rPr>
            <w:rStyle w:val="Hyperlink"/>
            <w:rFonts w:ascii="Verdana" w:hAnsi="Verdana"/>
            <w:sz w:val="18"/>
            <w:szCs w:val="18"/>
            <w:lang w:bidi="en-US"/>
          </w:rPr>
          <w:t>Special Care and Welfare Development plan for 2014-2020</w:t>
        </w:r>
      </w:hyperlink>
      <w:r w:rsidRPr="00D6034E">
        <w:rPr>
          <w:rFonts w:ascii="Verdana" w:hAnsi="Verdana"/>
          <w:sz w:val="18"/>
          <w:szCs w:val="18"/>
          <w:lang w:bidi="en-US"/>
        </w:rPr>
        <w:t xml:space="preserve"> (</w:t>
      </w:r>
      <w:r w:rsidRPr="00D6034E">
        <w:rPr>
          <w:rFonts w:ascii="Verdana" w:hAnsi="Verdana"/>
          <w:i/>
          <w:sz w:val="18"/>
          <w:szCs w:val="18"/>
          <w:lang w:bidi="en-US"/>
        </w:rPr>
        <w:t>Erihoolekande arengukava aastateks 2014-2020</w:t>
      </w:r>
      <w:r w:rsidRPr="00D6034E">
        <w:rPr>
          <w:rFonts w:ascii="Verdana" w:hAnsi="Verdana"/>
          <w:sz w:val="18"/>
          <w:szCs w:val="18"/>
          <w:lang w:bidi="en-US"/>
        </w:rPr>
        <w:t>), p. 36.</w:t>
      </w:r>
    </w:p>
    <w:p w14:paraId="6CA97F4A" w14:textId="77777777" w:rsidR="00E278E4" w:rsidRPr="00D6034E" w:rsidRDefault="00E278E4" w:rsidP="002C3ACE">
      <w:pPr>
        <w:pStyle w:val="EndnoteText"/>
        <w:rPr>
          <w:rFonts w:ascii="Verdana" w:hAnsi="Verdana"/>
          <w:sz w:val="18"/>
          <w:szCs w:val="18"/>
        </w:rPr>
      </w:pPr>
    </w:p>
  </w:endnote>
  <w:endnote w:id="48">
    <w:p w14:paraId="6AEC40F4" w14:textId="3D85367D" w:rsidR="00E278E4" w:rsidRPr="00D6034E" w:rsidRDefault="00E278E4" w:rsidP="002C3ACE">
      <w:pPr>
        <w:pStyle w:val="EndnoteText"/>
        <w:rPr>
          <w:rStyle w:val="Hyperlink"/>
          <w:rFonts w:ascii="Verdana" w:hAnsi="Verdana"/>
          <w:sz w:val="18"/>
          <w:szCs w:val="18"/>
          <w:lang w:val="da-DK"/>
        </w:rPr>
      </w:pPr>
      <w:r w:rsidRPr="00D6034E">
        <w:rPr>
          <w:rStyle w:val="EndnoteReference"/>
          <w:rFonts w:ascii="Verdana" w:hAnsi="Verdana"/>
          <w:sz w:val="18"/>
          <w:szCs w:val="18"/>
        </w:rPr>
        <w:endnoteRef/>
      </w:r>
      <w:r w:rsidRPr="00D6034E">
        <w:rPr>
          <w:rFonts w:ascii="Verdana" w:hAnsi="Verdana"/>
          <w:sz w:val="18"/>
          <w:szCs w:val="18"/>
        </w:rPr>
        <w:t xml:space="preserve"> </w:t>
      </w:r>
      <w:r w:rsidRPr="00D6034E">
        <w:rPr>
          <w:rFonts w:ascii="Verdana" w:hAnsi="Verdana"/>
          <w:sz w:val="18"/>
          <w:szCs w:val="18"/>
          <w:lang w:val="da-DK"/>
        </w:rPr>
        <w:t xml:space="preserve">Finland (2012), Government Resolution on securing individual housing and services for persons with intellectual disabilities </w:t>
      </w:r>
      <w:r w:rsidRPr="00D6034E">
        <w:rPr>
          <w:rFonts w:ascii="Verdana" w:hAnsi="Verdana"/>
          <w:i/>
          <w:sz w:val="18"/>
          <w:szCs w:val="18"/>
          <w:lang w:val="da-DK"/>
        </w:rPr>
        <w:t>(</w:t>
      </w:r>
      <w:hyperlink r:id="rId44" w:history="1">
        <w:r w:rsidRPr="00D6034E">
          <w:rPr>
            <w:rStyle w:val="Hyperlink"/>
            <w:rFonts w:ascii="Verdana" w:hAnsi="Verdana"/>
            <w:i/>
            <w:sz w:val="18"/>
            <w:szCs w:val="18"/>
            <w:lang w:val="da-DK"/>
          </w:rPr>
          <w:t>Valtioneuvoston periaatepäätös kehitysvammaisten henkilöiden yksilöllisen asumisen ja palvelujen turvaamisesta/Statsrådets principbeslut om tryggande av individuellt boende och tjänster för personen med utvecklingsstörning</w:t>
        </w:r>
      </w:hyperlink>
      <w:r w:rsidRPr="00D6034E">
        <w:rPr>
          <w:rFonts w:ascii="Verdana" w:hAnsi="Verdana"/>
          <w:i/>
          <w:sz w:val="18"/>
          <w:szCs w:val="18"/>
          <w:lang w:val="da-DK"/>
        </w:rPr>
        <w:t>)</w:t>
      </w:r>
      <w:r w:rsidRPr="00D6034E">
        <w:rPr>
          <w:rStyle w:val="Hyperlink"/>
          <w:rFonts w:ascii="Verdana" w:hAnsi="Verdana"/>
          <w:sz w:val="18"/>
          <w:szCs w:val="18"/>
          <w:lang w:val="da-DK"/>
        </w:rPr>
        <w:t>.</w:t>
      </w:r>
    </w:p>
    <w:p w14:paraId="1D2172E4" w14:textId="77777777" w:rsidR="00E278E4" w:rsidRPr="00D6034E" w:rsidRDefault="00E278E4" w:rsidP="002C3ACE">
      <w:pPr>
        <w:pStyle w:val="EndnoteText"/>
        <w:rPr>
          <w:rFonts w:ascii="Verdana" w:hAnsi="Verdana"/>
          <w:sz w:val="18"/>
          <w:szCs w:val="18"/>
        </w:rPr>
      </w:pPr>
    </w:p>
  </w:endnote>
  <w:endnote w:id="49">
    <w:p w14:paraId="44294E0F" w14:textId="3A8835F2"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Slovakia, Ministry of Labour, Social Affairs and Family (</w:t>
      </w:r>
      <w:r w:rsidRPr="00D6034E">
        <w:rPr>
          <w:rFonts w:ascii="Verdana" w:hAnsi="Verdana"/>
          <w:i/>
          <w:sz w:val="18"/>
          <w:szCs w:val="18"/>
        </w:rPr>
        <w:t>Ministerstvo práce, sociálnych vecí a </w:t>
      </w:r>
      <w:r w:rsidRPr="00D6034E">
        <w:rPr>
          <w:rFonts w:ascii="Verdana" w:hAnsi="Verdana"/>
          <w:sz w:val="18"/>
          <w:szCs w:val="18"/>
        </w:rPr>
        <w:t xml:space="preserve">rodiny) (2011), </w:t>
      </w:r>
      <w:hyperlink r:id="rId45" w:history="1">
        <w:r w:rsidRPr="00D6034E">
          <w:rPr>
            <w:rStyle w:val="Hyperlink"/>
            <w:rFonts w:ascii="Verdana" w:hAnsi="Verdana"/>
            <w:sz w:val="18"/>
            <w:szCs w:val="18"/>
          </w:rPr>
          <w:t>National action plan for the transition from institutional to community-based care in the social services system 2012-2015</w:t>
        </w:r>
      </w:hyperlink>
      <w:r w:rsidRPr="00D6034E">
        <w:rPr>
          <w:rFonts w:ascii="Verdana" w:hAnsi="Verdana"/>
          <w:sz w:val="18"/>
          <w:szCs w:val="18"/>
        </w:rPr>
        <w:t>, pp. 19-21.</w:t>
      </w:r>
      <w:r w:rsidRPr="00D6034E" w:rsidDel="009058AE">
        <w:rPr>
          <w:rFonts w:ascii="Verdana" w:hAnsi="Verdana"/>
          <w:sz w:val="18"/>
          <w:szCs w:val="18"/>
        </w:rPr>
        <w:t xml:space="preserve"> </w:t>
      </w:r>
    </w:p>
    <w:p w14:paraId="27415066" w14:textId="77777777" w:rsidR="00E278E4" w:rsidRPr="00D6034E" w:rsidRDefault="00E278E4" w:rsidP="002C3ACE">
      <w:pPr>
        <w:pStyle w:val="EndnoteText"/>
        <w:rPr>
          <w:rFonts w:ascii="Verdana" w:hAnsi="Verdana"/>
          <w:sz w:val="18"/>
          <w:szCs w:val="18"/>
        </w:rPr>
      </w:pPr>
    </w:p>
  </w:endnote>
  <w:endnote w:id="50">
    <w:p w14:paraId="2D766A73" w14:textId="168A6B45"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Latvia, Ministry of Welfare, Decree No.26 On the composition of the Social Services Development Council (</w:t>
      </w:r>
      <w:hyperlink r:id="rId46" w:history="1">
        <w:r w:rsidRPr="00D6034E">
          <w:rPr>
            <w:rStyle w:val="Hyperlink"/>
            <w:rFonts w:ascii="Verdana" w:hAnsi="Verdana"/>
            <w:i/>
            <w:sz w:val="18"/>
            <w:szCs w:val="18"/>
          </w:rPr>
          <w:t>Rīkojums Nr. 26 “Par Sociālo pakalpojumu attīstības padomes sastāvu</w:t>
        </w:r>
      </w:hyperlink>
      <w:r w:rsidRPr="00D6034E">
        <w:rPr>
          <w:rFonts w:ascii="Verdana" w:hAnsi="Verdana"/>
          <w:i/>
          <w:sz w:val="18"/>
          <w:szCs w:val="18"/>
        </w:rPr>
        <w:t>”</w:t>
      </w:r>
      <w:r w:rsidRPr="00D6034E">
        <w:rPr>
          <w:rFonts w:ascii="Verdana" w:hAnsi="Verdana"/>
          <w:sz w:val="18"/>
          <w:szCs w:val="18"/>
        </w:rPr>
        <w:t xml:space="preserve">), 20 March 2014. </w:t>
      </w:r>
    </w:p>
    <w:p w14:paraId="0FB61C0B" w14:textId="77777777" w:rsidR="00E278E4" w:rsidRPr="00D6034E" w:rsidRDefault="00E278E4" w:rsidP="002C3ACE">
      <w:pPr>
        <w:pStyle w:val="EndnoteText"/>
        <w:rPr>
          <w:rFonts w:ascii="Verdana" w:hAnsi="Verdana"/>
          <w:sz w:val="18"/>
          <w:szCs w:val="18"/>
        </w:rPr>
      </w:pPr>
    </w:p>
  </w:endnote>
  <w:endnote w:id="51">
    <w:p w14:paraId="3F6C6B06" w14:textId="3139888C" w:rsidR="00E278E4" w:rsidRPr="00D6034E" w:rsidRDefault="00E278E4" w:rsidP="002C3ACE">
      <w:pPr>
        <w:rPr>
          <w:rFonts w:ascii="Verdana" w:hAnsi="Verdana"/>
          <w:noProof/>
          <w:color w:val="00565B"/>
          <w:sz w:val="18"/>
          <w:szCs w:val="18"/>
          <w:lang w:val="pl-PL"/>
        </w:rPr>
      </w:pPr>
      <w:r w:rsidRPr="00D6034E">
        <w:rPr>
          <w:rStyle w:val="EndnoteReference"/>
          <w:rFonts w:ascii="Verdana" w:hAnsi="Verdana"/>
          <w:noProof/>
          <w:sz w:val="18"/>
          <w:szCs w:val="18"/>
        </w:rPr>
        <w:endnoteRef/>
      </w:r>
      <w:r w:rsidRPr="00D6034E">
        <w:rPr>
          <w:rFonts w:ascii="Verdana" w:hAnsi="Verdana"/>
          <w:noProof/>
          <w:sz w:val="18"/>
          <w:szCs w:val="18"/>
          <w:lang w:val="pl-PL"/>
        </w:rPr>
        <w:t xml:space="preserve"> See, for example, Bulgaria, Ministry of Labour and Social Policy (</w:t>
      </w:r>
      <w:r w:rsidRPr="00D6034E">
        <w:rPr>
          <w:rFonts w:ascii="Verdana" w:hAnsi="Verdana"/>
          <w:i/>
          <w:noProof/>
          <w:sz w:val="18"/>
          <w:szCs w:val="18"/>
        </w:rPr>
        <w:t>Министерство</w:t>
      </w:r>
      <w:r w:rsidRPr="00D6034E">
        <w:rPr>
          <w:rFonts w:ascii="Verdana" w:hAnsi="Verdana"/>
          <w:i/>
          <w:noProof/>
          <w:sz w:val="18"/>
          <w:szCs w:val="18"/>
          <w:lang w:val="pl-PL"/>
        </w:rPr>
        <w:t xml:space="preserve"> </w:t>
      </w:r>
      <w:r w:rsidRPr="00D6034E">
        <w:rPr>
          <w:rFonts w:ascii="Verdana" w:hAnsi="Verdana"/>
          <w:i/>
          <w:noProof/>
          <w:sz w:val="18"/>
          <w:szCs w:val="18"/>
        </w:rPr>
        <w:t>на</w:t>
      </w:r>
      <w:r w:rsidRPr="00D6034E">
        <w:rPr>
          <w:rFonts w:ascii="Verdana" w:hAnsi="Verdana"/>
          <w:i/>
          <w:noProof/>
          <w:sz w:val="18"/>
          <w:szCs w:val="18"/>
          <w:lang w:val="pl-PL"/>
        </w:rPr>
        <w:t xml:space="preserve"> </w:t>
      </w:r>
      <w:r w:rsidRPr="00D6034E">
        <w:rPr>
          <w:rFonts w:ascii="Verdana" w:hAnsi="Verdana"/>
          <w:i/>
          <w:noProof/>
          <w:sz w:val="18"/>
          <w:szCs w:val="18"/>
        </w:rPr>
        <w:t>труда</w:t>
      </w:r>
      <w:r w:rsidRPr="00D6034E">
        <w:rPr>
          <w:rFonts w:ascii="Verdana" w:hAnsi="Verdana"/>
          <w:i/>
          <w:noProof/>
          <w:sz w:val="18"/>
          <w:szCs w:val="18"/>
          <w:lang w:val="pl-PL"/>
        </w:rPr>
        <w:t xml:space="preserve"> </w:t>
      </w:r>
      <w:r w:rsidRPr="00D6034E">
        <w:rPr>
          <w:rFonts w:ascii="Verdana" w:hAnsi="Verdana"/>
          <w:i/>
          <w:noProof/>
          <w:sz w:val="18"/>
          <w:szCs w:val="18"/>
        </w:rPr>
        <w:t>и</w:t>
      </w:r>
      <w:r w:rsidRPr="00D6034E">
        <w:rPr>
          <w:rFonts w:ascii="Verdana" w:hAnsi="Verdana"/>
          <w:i/>
          <w:noProof/>
          <w:sz w:val="18"/>
          <w:szCs w:val="18"/>
          <w:lang w:val="pl-PL"/>
        </w:rPr>
        <w:t xml:space="preserve"> </w:t>
      </w:r>
      <w:r w:rsidRPr="00D6034E">
        <w:rPr>
          <w:rFonts w:ascii="Verdana" w:hAnsi="Verdana"/>
          <w:i/>
          <w:noProof/>
          <w:sz w:val="18"/>
          <w:szCs w:val="18"/>
        </w:rPr>
        <w:t>социалната</w:t>
      </w:r>
      <w:r w:rsidRPr="00D6034E">
        <w:rPr>
          <w:rFonts w:ascii="Verdana" w:hAnsi="Verdana"/>
          <w:i/>
          <w:noProof/>
          <w:sz w:val="18"/>
          <w:szCs w:val="18"/>
          <w:lang w:val="pl-PL"/>
        </w:rPr>
        <w:t xml:space="preserve"> </w:t>
      </w:r>
      <w:r w:rsidRPr="00D6034E">
        <w:rPr>
          <w:rFonts w:ascii="Verdana" w:hAnsi="Verdana"/>
          <w:i/>
          <w:noProof/>
          <w:sz w:val="18"/>
          <w:szCs w:val="18"/>
        </w:rPr>
        <w:t>политика</w:t>
      </w:r>
      <w:r w:rsidRPr="00D6034E">
        <w:rPr>
          <w:rFonts w:ascii="Verdana" w:hAnsi="Verdana"/>
          <w:noProof/>
          <w:sz w:val="18"/>
          <w:szCs w:val="18"/>
          <w:lang w:val="pl-PL"/>
        </w:rPr>
        <w:t>) (2014), Annual report on the implementation of the Action Plan for the Porivison of Equal Opportunities for People with Disabilities 2014-2015 (</w:t>
      </w:r>
      <w:hyperlink r:id="rId47" w:history="1">
        <w:r w:rsidRPr="00D6034E">
          <w:rPr>
            <w:rStyle w:val="Hyperlink"/>
            <w:rFonts w:ascii="Verdana" w:hAnsi="Verdana"/>
            <w:i/>
            <w:noProof/>
            <w:sz w:val="18"/>
            <w:szCs w:val="18"/>
          </w:rPr>
          <w:t>Годишен</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доклад</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за</w:t>
        </w:r>
        <w:r w:rsidRPr="00D6034E">
          <w:rPr>
            <w:rStyle w:val="Hyperlink"/>
            <w:rFonts w:ascii="Verdana" w:hAnsi="Verdana"/>
            <w:i/>
            <w:noProof/>
            <w:sz w:val="18"/>
            <w:szCs w:val="18"/>
            <w:lang w:val="pl-PL"/>
          </w:rPr>
          <w:t xml:space="preserve"> 2014 </w:t>
        </w:r>
        <w:r w:rsidRPr="00D6034E">
          <w:rPr>
            <w:rStyle w:val="Hyperlink"/>
            <w:rFonts w:ascii="Verdana" w:hAnsi="Verdana"/>
            <w:i/>
            <w:noProof/>
            <w:sz w:val="18"/>
            <w:szCs w:val="18"/>
          </w:rPr>
          <w:t>г</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за</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изпълнението</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на</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Плана</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за</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действие</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за</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осигуряване</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на</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равни</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възможности</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за</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хората</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с</w:t>
        </w:r>
        <w:r w:rsidRPr="00D6034E">
          <w:rPr>
            <w:rStyle w:val="Hyperlink"/>
            <w:rFonts w:ascii="Verdana" w:hAnsi="Verdana"/>
            <w:i/>
            <w:noProof/>
            <w:sz w:val="18"/>
            <w:szCs w:val="18"/>
            <w:lang w:val="pl-PL"/>
          </w:rPr>
          <w:t xml:space="preserve"> </w:t>
        </w:r>
        <w:r w:rsidRPr="00D6034E">
          <w:rPr>
            <w:rStyle w:val="Hyperlink"/>
            <w:rFonts w:ascii="Verdana" w:hAnsi="Verdana"/>
            <w:i/>
            <w:noProof/>
            <w:sz w:val="18"/>
            <w:szCs w:val="18"/>
          </w:rPr>
          <w:t>увреждания</w:t>
        </w:r>
        <w:r w:rsidRPr="00D6034E">
          <w:rPr>
            <w:rStyle w:val="Hyperlink"/>
            <w:rFonts w:ascii="Verdana" w:hAnsi="Verdana"/>
            <w:i/>
            <w:noProof/>
            <w:sz w:val="18"/>
            <w:szCs w:val="18"/>
            <w:lang w:val="pl-PL"/>
          </w:rPr>
          <w:t xml:space="preserve"> 2014 – 2015 </w:t>
        </w:r>
        <w:r w:rsidRPr="00D6034E">
          <w:rPr>
            <w:rStyle w:val="Hyperlink"/>
            <w:rFonts w:ascii="Verdana" w:hAnsi="Verdana"/>
            <w:i/>
            <w:noProof/>
            <w:sz w:val="18"/>
            <w:szCs w:val="18"/>
          </w:rPr>
          <w:t>г</w:t>
        </w:r>
      </w:hyperlink>
      <w:r w:rsidRPr="00D6034E">
        <w:rPr>
          <w:rFonts w:ascii="Verdana" w:hAnsi="Verdana"/>
          <w:i/>
          <w:noProof/>
          <w:sz w:val="18"/>
          <w:szCs w:val="18"/>
          <w:lang w:val="pl-PL"/>
        </w:rPr>
        <w:t>.</w:t>
      </w:r>
      <w:r w:rsidRPr="00D6034E">
        <w:rPr>
          <w:rFonts w:ascii="Verdana" w:hAnsi="Verdana"/>
          <w:noProof/>
          <w:sz w:val="18"/>
          <w:szCs w:val="18"/>
          <w:lang w:val="pl-PL"/>
        </w:rPr>
        <w:t>)</w:t>
      </w:r>
      <w:r w:rsidRPr="00D6034E">
        <w:rPr>
          <w:rStyle w:val="Hyperlink"/>
          <w:rFonts w:ascii="Verdana" w:hAnsi="Verdana"/>
          <w:noProof/>
          <w:sz w:val="18"/>
          <w:szCs w:val="18"/>
          <w:lang w:val="pl-PL"/>
        </w:rPr>
        <w:t>.</w:t>
      </w:r>
    </w:p>
  </w:endnote>
  <w:endnote w:id="52">
    <w:p w14:paraId="5B42DF66" w14:textId="64AB9B8D" w:rsidR="00E278E4" w:rsidRPr="00D6034E" w:rsidRDefault="00E278E4" w:rsidP="002C3ACE">
      <w:pPr>
        <w:pStyle w:val="EndnoteText"/>
        <w:rPr>
          <w:rFonts w:ascii="Verdana" w:hAnsi="Verdana"/>
          <w:bCs/>
          <w:sz w:val="18"/>
          <w:szCs w:val="18"/>
          <w:lang w:val="en-US"/>
        </w:rPr>
      </w:pPr>
      <w:r w:rsidRPr="00D6034E">
        <w:rPr>
          <w:rStyle w:val="EndnoteReference"/>
          <w:rFonts w:ascii="Verdana" w:hAnsi="Verdana"/>
          <w:sz w:val="18"/>
          <w:szCs w:val="18"/>
        </w:rPr>
        <w:endnoteRef/>
      </w:r>
      <w:r w:rsidRPr="00D6034E">
        <w:rPr>
          <w:rFonts w:ascii="Verdana" w:hAnsi="Verdana"/>
          <w:sz w:val="18"/>
          <w:szCs w:val="18"/>
          <w:lang w:val="pl-PL"/>
        </w:rPr>
        <w:t xml:space="preserve"> </w:t>
      </w:r>
      <w:r w:rsidRPr="00D6034E">
        <w:rPr>
          <w:rFonts w:ascii="Verdana" w:hAnsi="Verdana"/>
          <w:sz w:val="18"/>
          <w:szCs w:val="18"/>
        </w:rPr>
        <w:t>Czech Republic,</w:t>
      </w:r>
      <w:r w:rsidRPr="00D6034E">
        <w:rPr>
          <w:rFonts w:ascii="Verdana" w:hAnsi="Verdana"/>
          <w:i/>
          <w:sz w:val="18"/>
          <w:szCs w:val="18"/>
        </w:rPr>
        <w:t xml:space="preserve"> </w:t>
      </w:r>
      <w:r w:rsidRPr="00D6034E">
        <w:rPr>
          <w:rFonts w:ascii="Verdana" w:hAnsi="Verdana"/>
          <w:sz w:val="18"/>
          <w:szCs w:val="18"/>
        </w:rPr>
        <w:t>2015, National Plan to Reinforce Equal Opportunities for Persons with Disabilities</w:t>
      </w:r>
      <w:r w:rsidRPr="00D6034E">
        <w:rPr>
          <w:rFonts w:ascii="Verdana" w:hAnsi="Verdana"/>
          <w:i/>
          <w:sz w:val="18"/>
          <w:szCs w:val="18"/>
        </w:rPr>
        <w:t xml:space="preserve"> </w:t>
      </w:r>
      <w:r w:rsidRPr="00D6034E">
        <w:rPr>
          <w:rFonts w:ascii="Verdana" w:hAnsi="Verdana"/>
          <w:sz w:val="18"/>
          <w:szCs w:val="18"/>
        </w:rPr>
        <w:t>(</w:t>
      </w:r>
      <w:hyperlink r:id="rId48" w:history="1">
        <w:r w:rsidRPr="00D6034E">
          <w:rPr>
            <w:rStyle w:val="Hyperlink"/>
            <w:rFonts w:ascii="Verdana" w:hAnsi="Verdana"/>
            <w:i/>
            <w:sz w:val="18"/>
            <w:szCs w:val="18"/>
          </w:rPr>
          <w:t>Národní plán podpory rovných příležitostí pro osoby se zdravotním postižením na období 2015–2020</w:t>
        </w:r>
      </w:hyperlink>
      <w:r w:rsidRPr="00D6034E">
        <w:rPr>
          <w:rFonts w:ascii="Verdana" w:hAnsi="Verdana"/>
          <w:sz w:val="18"/>
          <w:szCs w:val="18"/>
        </w:rPr>
        <w:t>);</w:t>
      </w:r>
      <w:r w:rsidRPr="00D6034E">
        <w:rPr>
          <w:rFonts w:ascii="Verdana" w:hAnsi="Verdana"/>
          <w:i/>
          <w:sz w:val="18"/>
          <w:szCs w:val="18"/>
        </w:rPr>
        <w:t xml:space="preserve"> </w:t>
      </w:r>
      <w:r w:rsidRPr="00D6034E">
        <w:rPr>
          <w:rFonts w:ascii="Verdana" w:hAnsi="Verdana"/>
          <w:bCs/>
          <w:sz w:val="18"/>
          <w:szCs w:val="18"/>
          <w:lang w:val="en-US"/>
        </w:rPr>
        <w:t xml:space="preserve">25 May 2015, </w:t>
      </w:r>
      <w:r w:rsidRPr="00D6034E">
        <w:rPr>
          <w:rFonts w:ascii="Verdana" w:hAnsi="Verdana"/>
          <w:sz w:val="18"/>
          <w:szCs w:val="18"/>
          <w:lang w:val="en-US"/>
        </w:rPr>
        <w:t>decision No</w:t>
      </w:r>
      <w:r w:rsidRPr="00D6034E">
        <w:rPr>
          <w:rFonts w:ascii="Verdana" w:hAnsi="Verdana"/>
          <w:bCs/>
          <w:sz w:val="18"/>
          <w:szCs w:val="18"/>
          <w:lang w:val="en-US"/>
        </w:rPr>
        <w:t xml:space="preserve"> 385.</w:t>
      </w:r>
    </w:p>
    <w:p w14:paraId="267B578D" w14:textId="77777777" w:rsidR="00E278E4" w:rsidRPr="00D6034E" w:rsidRDefault="00E278E4" w:rsidP="002C3ACE">
      <w:pPr>
        <w:pStyle w:val="EndnoteText"/>
        <w:rPr>
          <w:rFonts w:ascii="Verdana" w:hAnsi="Verdana"/>
          <w:bCs/>
          <w:sz w:val="18"/>
          <w:szCs w:val="18"/>
          <w:lang w:val="en-US"/>
        </w:rPr>
      </w:pPr>
    </w:p>
  </w:endnote>
  <w:endnote w:id="53">
    <w:p w14:paraId="57B172EA" w14:textId="07382181" w:rsidR="00E278E4" w:rsidRPr="00D6034E" w:rsidRDefault="00E278E4" w:rsidP="002C3ACE">
      <w:pPr>
        <w:pStyle w:val="EndnoteText"/>
        <w:rPr>
          <w:rFonts w:ascii="Verdana" w:hAnsi="Verdana"/>
          <w:sz w:val="18"/>
          <w:szCs w:val="18"/>
          <w:lang w:val="pl-PL"/>
        </w:rPr>
      </w:pPr>
      <w:r w:rsidRPr="00D6034E">
        <w:rPr>
          <w:rStyle w:val="EndnoteReference"/>
          <w:rFonts w:ascii="Verdana" w:hAnsi="Verdana"/>
          <w:sz w:val="18"/>
          <w:szCs w:val="18"/>
        </w:rPr>
        <w:endnoteRef/>
      </w:r>
      <w:r w:rsidRPr="00D6034E">
        <w:rPr>
          <w:rFonts w:ascii="Verdana" w:hAnsi="Verdana"/>
          <w:sz w:val="18"/>
          <w:szCs w:val="18"/>
          <w:lang w:val="pl-PL"/>
        </w:rPr>
        <w:t xml:space="preserve"> Sjöblom, S. (</w:t>
      </w:r>
      <w:r w:rsidRPr="00D6034E">
        <w:rPr>
          <w:rFonts w:ascii="Verdana" w:hAnsi="Verdana"/>
          <w:i/>
          <w:sz w:val="18"/>
          <w:szCs w:val="18"/>
          <w:lang w:val="pl-PL"/>
        </w:rPr>
        <w:t>ed.</w:t>
      </w:r>
      <w:r w:rsidRPr="00D6034E">
        <w:rPr>
          <w:rFonts w:ascii="Verdana" w:hAnsi="Verdana"/>
          <w:sz w:val="18"/>
          <w:szCs w:val="18"/>
          <w:lang w:val="pl-PL"/>
        </w:rPr>
        <w:t xml:space="preserve">) (2014), </w:t>
      </w:r>
      <w:hyperlink r:id="rId49" w:history="1">
        <w:r w:rsidRPr="00D6034E">
          <w:rPr>
            <w:rStyle w:val="Hyperlink"/>
            <w:rFonts w:ascii="Verdana" w:hAnsi="Verdana"/>
            <w:i/>
            <w:sz w:val="18"/>
            <w:szCs w:val="18"/>
            <w:lang w:val="pl-PL"/>
          </w:rPr>
          <w:t>VAMPO-seurantaraportti II: Katsaus Suomen vammaispoliittisen ohjelman</w:t>
        </w:r>
      </w:hyperlink>
      <w:r w:rsidRPr="00D6034E">
        <w:rPr>
          <w:rFonts w:ascii="Verdana" w:hAnsi="Verdana"/>
          <w:i/>
          <w:sz w:val="18"/>
          <w:szCs w:val="18"/>
          <w:lang w:val="pl-PL"/>
        </w:rPr>
        <w:t xml:space="preserve"> (VAMPO) 2010-2015 toimeenpanon tilanteeseen</w:t>
      </w:r>
      <w:r w:rsidRPr="00D6034E">
        <w:rPr>
          <w:rFonts w:ascii="Verdana" w:hAnsi="Verdana"/>
          <w:sz w:val="18"/>
          <w:szCs w:val="18"/>
          <w:lang w:val="pl-PL"/>
        </w:rPr>
        <w:t>, National Institute for Health and Welfare, työpaperi 31/2014.</w:t>
      </w:r>
    </w:p>
    <w:p w14:paraId="2DC1F7C2" w14:textId="77777777" w:rsidR="00E278E4" w:rsidRPr="00D6034E" w:rsidRDefault="00E278E4" w:rsidP="002C3ACE">
      <w:pPr>
        <w:pStyle w:val="EndnoteText"/>
        <w:rPr>
          <w:rFonts w:ascii="Verdana" w:hAnsi="Verdana"/>
          <w:sz w:val="18"/>
          <w:szCs w:val="18"/>
          <w:lang w:val="pl-PL"/>
        </w:rPr>
      </w:pPr>
    </w:p>
  </w:endnote>
  <w:endnote w:id="54">
    <w:p w14:paraId="4D92555F" w14:textId="64DA8234" w:rsidR="00E278E4" w:rsidRPr="00D6034E" w:rsidRDefault="00E278E4" w:rsidP="002C3ACE">
      <w:pPr>
        <w:pStyle w:val="EndnoteText"/>
        <w:rPr>
          <w:rFonts w:ascii="Verdana" w:hAnsi="Verdana"/>
          <w:sz w:val="18"/>
          <w:szCs w:val="18"/>
          <w:lang w:val="pl-PL"/>
        </w:rPr>
      </w:pPr>
      <w:r w:rsidRPr="00D6034E">
        <w:rPr>
          <w:rStyle w:val="EndnoteReference"/>
          <w:rFonts w:ascii="Verdana" w:hAnsi="Verdana"/>
          <w:sz w:val="18"/>
          <w:szCs w:val="18"/>
        </w:rPr>
        <w:endnoteRef/>
      </w:r>
      <w:r w:rsidRPr="00D6034E">
        <w:rPr>
          <w:rFonts w:ascii="Verdana" w:hAnsi="Verdana"/>
          <w:sz w:val="18"/>
          <w:szCs w:val="18"/>
          <w:lang w:val="pl-PL"/>
        </w:rPr>
        <w:t xml:space="preserve"> Austria, Federal Ministry of Labour, Social Affairs and Consumer Protection (</w:t>
      </w:r>
      <w:r w:rsidRPr="00D6034E">
        <w:rPr>
          <w:rFonts w:ascii="Verdana" w:hAnsi="Verdana"/>
          <w:bCs/>
          <w:i/>
          <w:sz w:val="18"/>
          <w:szCs w:val="18"/>
          <w:lang w:val="pl-PL"/>
        </w:rPr>
        <w:t>Bundesministerium für Arbeit, Soziales und Konsumentenschutz</w:t>
      </w:r>
      <w:r w:rsidRPr="00D6034E">
        <w:rPr>
          <w:rFonts w:ascii="Verdana" w:hAnsi="Verdana"/>
          <w:sz w:val="18"/>
          <w:szCs w:val="18"/>
          <w:lang w:val="pl-PL"/>
        </w:rPr>
        <w:t>), National Actiopn Plan Disability, Interim Report 2012-2015 (</w:t>
      </w:r>
      <w:hyperlink r:id="rId50" w:history="1">
        <w:r w:rsidRPr="00D6034E">
          <w:rPr>
            <w:rStyle w:val="Hyperlink"/>
            <w:rFonts w:ascii="Verdana" w:hAnsi="Verdana"/>
            <w:i/>
            <w:sz w:val="18"/>
            <w:szCs w:val="18"/>
            <w:lang w:val="pl-PL"/>
          </w:rPr>
          <w:t>Nationaler Aktionsplan Behinderung, Zwischenbilanz 2012-2015</w:t>
        </w:r>
      </w:hyperlink>
      <w:r w:rsidRPr="00D6034E">
        <w:rPr>
          <w:rFonts w:ascii="Verdana" w:hAnsi="Verdana"/>
          <w:sz w:val="18"/>
          <w:szCs w:val="18"/>
          <w:lang w:val="pl-PL"/>
        </w:rPr>
        <w:t>).</w:t>
      </w:r>
    </w:p>
    <w:p w14:paraId="6CEDC6E0" w14:textId="77777777" w:rsidR="00E278E4" w:rsidRPr="00D6034E" w:rsidRDefault="00E278E4" w:rsidP="002C3ACE">
      <w:pPr>
        <w:pStyle w:val="EndnoteText"/>
        <w:rPr>
          <w:rFonts w:ascii="Verdana" w:hAnsi="Verdana"/>
          <w:sz w:val="18"/>
          <w:szCs w:val="18"/>
          <w:lang w:val="pl-PL"/>
        </w:rPr>
      </w:pPr>
    </w:p>
  </w:endnote>
  <w:endnote w:id="55">
    <w:p w14:paraId="33BA3970" w14:textId="18DFA42F" w:rsidR="00E278E4" w:rsidRPr="00D6034E" w:rsidRDefault="00E278E4" w:rsidP="002C3ACE">
      <w:pPr>
        <w:pStyle w:val="EndnoteText"/>
        <w:rPr>
          <w:rFonts w:ascii="Verdana" w:hAnsi="Verdana"/>
          <w:sz w:val="18"/>
          <w:szCs w:val="18"/>
          <w:lang w:val="pl-PL"/>
        </w:rPr>
      </w:pPr>
      <w:r w:rsidRPr="00D6034E">
        <w:rPr>
          <w:rStyle w:val="EndnoteReference"/>
          <w:rFonts w:ascii="Verdana" w:hAnsi="Verdana"/>
          <w:sz w:val="18"/>
          <w:szCs w:val="18"/>
        </w:rPr>
        <w:endnoteRef/>
      </w:r>
      <w:r w:rsidRPr="00D6034E">
        <w:rPr>
          <w:rFonts w:ascii="Verdana" w:hAnsi="Verdana"/>
          <w:sz w:val="18"/>
          <w:szCs w:val="18"/>
          <w:lang w:val="pl-PL"/>
        </w:rPr>
        <w:t xml:space="preserve"> Slovakia, Ministry of Labour, Social Affairs and Family (</w:t>
      </w:r>
      <w:r w:rsidRPr="00D6034E">
        <w:rPr>
          <w:rFonts w:ascii="Verdana" w:hAnsi="Verdana"/>
          <w:i/>
          <w:sz w:val="18"/>
          <w:szCs w:val="18"/>
          <w:lang w:val="pl-PL"/>
        </w:rPr>
        <w:t>Ministerstvopráce, sociálnychvecí a rodiny SR</w:t>
      </w:r>
      <w:r w:rsidRPr="00D6034E">
        <w:rPr>
          <w:rFonts w:ascii="Verdana" w:hAnsi="Verdana"/>
          <w:sz w:val="18"/>
          <w:szCs w:val="18"/>
          <w:lang w:val="pl-PL"/>
        </w:rPr>
        <w:t xml:space="preserve">) (2016), </w:t>
      </w:r>
      <w:hyperlink r:id="rId51" w:history="1">
        <w:r w:rsidRPr="00D6034E">
          <w:rPr>
            <w:rStyle w:val="Hyperlink"/>
            <w:rFonts w:ascii="Verdana" w:hAnsi="Verdana"/>
            <w:i/>
            <w:sz w:val="18"/>
            <w:szCs w:val="18"/>
            <w:lang w:val="pl-PL"/>
          </w:rPr>
          <w:t>Správa o plnení opatrení vyplývajúcich z Národného programu rozvoja životných podmienok osôb so zdravotným postihnutím na roky 2014 – 2020 a návrh na jeho aktualizáciu</w:t>
        </w:r>
      </w:hyperlink>
      <w:r w:rsidRPr="00D6034E">
        <w:rPr>
          <w:rFonts w:ascii="Verdana" w:hAnsi="Verdana"/>
          <w:sz w:val="18"/>
          <w:szCs w:val="18"/>
          <w:lang w:val="pl-PL"/>
        </w:rPr>
        <w:t>.</w:t>
      </w:r>
    </w:p>
    <w:p w14:paraId="78F36C18" w14:textId="77777777" w:rsidR="00E278E4" w:rsidRPr="00D6034E" w:rsidRDefault="00E278E4" w:rsidP="002C3ACE">
      <w:pPr>
        <w:pStyle w:val="EndnoteText"/>
        <w:rPr>
          <w:rFonts w:ascii="Verdana" w:hAnsi="Verdana"/>
          <w:sz w:val="18"/>
          <w:szCs w:val="18"/>
          <w:lang w:val="pl-PL"/>
        </w:rPr>
      </w:pPr>
    </w:p>
  </w:endnote>
  <w:endnote w:id="56">
    <w:p w14:paraId="0A3A44DF" w14:textId="2D86C423" w:rsidR="00E278E4" w:rsidRPr="00D6034E" w:rsidRDefault="00E278E4" w:rsidP="002C3ACE">
      <w:pPr>
        <w:pStyle w:val="EndnoteText"/>
        <w:rPr>
          <w:rFonts w:ascii="Verdana" w:hAnsi="Verdana"/>
          <w:sz w:val="18"/>
          <w:szCs w:val="18"/>
          <w:lang w:val="pl-PL"/>
        </w:rPr>
      </w:pPr>
      <w:r w:rsidRPr="00D6034E">
        <w:rPr>
          <w:rStyle w:val="EndnoteReference"/>
          <w:rFonts w:ascii="Verdana" w:hAnsi="Verdana"/>
          <w:sz w:val="18"/>
          <w:szCs w:val="18"/>
        </w:rPr>
        <w:endnoteRef/>
      </w:r>
      <w:r w:rsidRPr="00D6034E">
        <w:rPr>
          <w:rFonts w:ascii="Verdana" w:hAnsi="Verdana"/>
          <w:sz w:val="18"/>
          <w:szCs w:val="18"/>
          <w:lang w:val="pl-PL"/>
        </w:rPr>
        <w:t xml:space="preserve"> This can be accessed via the </w:t>
      </w:r>
      <w:hyperlink r:id="rId52" w:history="1">
        <w:r w:rsidRPr="00D6034E">
          <w:rPr>
            <w:rStyle w:val="Hyperlink"/>
            <w:rFonts w:ascii="Verdana" w:hAnsi="Verdana"/>
            <w:sz w:val="18"/>
            <w:szCs w:val="18"/>
            <w:lang w:val="pl-PL"/>
          </w:rPr>
          <w:t>website of VALTO</w:t>
        </w:r>
      </w:hyperlink>
      <w:r w:rsidRPr="00D6034E">
        <w:rPr>
          <w:rFonts w:ascii="Verdana" w:hAnsi="Verdana"/>
          <w:sz w:val="18"/>
          <w:szCs w:val="18"/>
          <w:lang w:val="pl-PL"/>
        </w:rPr>
        <w:t xml:space="preserve">, the institutional repository for the Finnish government. </w:t>
      </w:r>
    </w:p>
    <w:p w14:paraId="261F5074" w14:textId="77777777" w:rsidR="00E278E4" w:rsidRPr="00D6034E" w:rsidRDefault="00E278E4" w:rsidP="002C3ACE">
      <w:pPr>
        <w:pStyle w:val="EndnoteText"/>
        <w:rPr>
          <w:rFonts w:ascii="Verdana" w:hAnsi="Verdana"/>
          <w:sz w:val="18"/>
          <w:szCs w:val="18"/>
          <w:lang w:val="pl-PL"/>
        </w:rPr>
      </w:pPr>
    </w:p>
  </w:endnote>
  <w:endnote w:id="57">
    <w:p w14:paraId="00E2C726" w14:textId="15E0772A"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CRPD Committee (2017), </w:t>
      </w:r>
      <w:hyperlink r:id="rId53" w:history="1">
        <w:r w:rsidRPr="00D6034E">
          <w:rPr>
            <w:rStyle w:val="Hyperlink"/>
            <w:rFonts w:ascii="Verdana" w:hAnsi="Verdana"/>
            <w:sz w:val="18"/>
            <w:szCs w:val="18"/>
          </w:rPr>
          <w:t>General Comment No. 5 – Article 19: Living independently and being included in the community</w:t>
        </w:r>
      </w:hyperlink>
      <w:r w:rsidRPr="00D6034E">
        <w:rPr>
          <w:rFonts w:ascii="Verdana" w:hAnsi="Verdana"/>
          <w:sz w:val="18"/>
          <w:szCs w:val="18"/>
        </w:rPr>
        <w:t xml:space="preserve">, CRPD/C/18/1, 29 August 2017, para. 49 and UN General Assembly (2016), </w:t>
      </w:r>
      <w:hyperlink r:id="rId54" w:history="1">
        <w:r w:rsidRPr="00D6034E">
          <w:rPr>
            <w:rStyle w:val="Hyperlink"/>
            <w:rFonts w:ascii="Verdana" w:hAnsi="Verdana"/>
            <w:i/>
            <w:sz w:val="18"/>
            <w:szCs w:val="18"/>
          </w:rPr>
          <w:t>Report of the Special Rapporteur on the rights of persons with disabilities</w:t>
        </w:r>
      </w:hyperlink>
      <w:r w:rsidRPr="00D6034E">
        <w:rPr>
          <w:rFonts w:ascii="Verdana" w:hAnsi="Verdana"/>
          <w:sz w:val="18"/>
          <w:szCs w:val="18"/>
        </w:rPr>
        <w:t>, A/HRC/34/58, 20 December 2016.</w:t>
      </w:r>
    </w:p>
    <w:p w14:paraId="5F4839E2" w14:textId="77777777" w:rsidR="00E278E4" w:rsidRPr="00D6034E" w:rsidRDefault="00E278E4" w:rsidP="002C3ACE">
      <w:pPr>
        <w:pStyle w:val="EndnoteText"/>
        <w:rPr>
          <w:rFonts w:ascii="Verdana" w:hAnsi="Verdana"/>
          <w:sz w:val="18"/>
          <w:szCs w:val="18"/>
        </w:rPr>
      </w:pPr>
    </w:p>
  </w:endnote>
  <w:endnote w:id="58">
    <w:p w14:paraId="3C4AA3CB" w14:textId="0B6E1F0C" w:rsidR="00E278E4" w:rsidRPr="00D6034E" w:rsidRDefault="00E278E4" w:rsidP="002C3ACE">
      <w:pPr>
        <w:pStyle w:val="EndnoteText"/>
        <w:rPr>
          <w:rFonts w:ascii="Verdana" w:hAnsi="Verdana"/>
          <w:sz w:val="18"/>
          <w:szCs w:val="18"/>
          <w:lang w:val="de-AT"/>
        </w:rPr>
      </w:pPr>
      <w:r w:rsidRPr="00D6034E">
        <w:rPr>
          <w:rStyle w:val="EndnoteReference"/>
          <w:rFonts w:ascii="Verdana" w:hAnsi="Verdana"/>
          <w:sz w:val="18"/>
          <w:szCs w:val="18"/>
        </w:rPr>
        <w:endnoteRef/>
      </w:r>
      <w:r w:rsidRPr="00D6034E">
        <w:rPr>
          <w:rFonts w:ascii="Verdana" w:hAnsi="Verdana"/>
          <w:sz w:val="18"/>
          <w:szCs w:val="18"/>
          <w:lang w:val="de-AT"/>
        </w:rPr>
        <w:t xml:space="preserve"> Austria (1992), </w:t>
      </w:r>
      <w:hyperlink r:id="rId55" w:history="1">
        <w:r w:rsidRPr="00D6034E">
          <w:rPr>
            <w:rStyle w:val="Hyperlink"/>
            <w:rFonts w:ascii="Verdana" w:hAnsi="Verdana"/>
            <w:i/>
            <w:sz w:val="18"/>
            <w:szCs w:val="18"/>
            <w:lang w:val="de-AT"/>
          </w:rPr>
          <w:t>Das Behindertenkonzept der österreichischen Bundesregierung</w:t>
        </w:r>
      </w:hyperlink>
      <w:r w:rsidRPr="00D6034E">
        <w:rPr>
          <w:rFonts w:ascii="Verdana" w:hAnsi="Verdana"/>
          <w:i/>
          <w:sz w:val="18"/>
          <w:szCs w:val="18"/>
          <w:lang w:val="de-AT"/>
        </w:rPr>
        <w:t xml:space="preserve">, </w:t>
      </w:r>
      <w:r w:rsidRPr="00D6034E">
        <w:rPr>
          <w:rFonts w:ascii="Verdana" w:hAnsi="Verdana"/>
          <w:sz w:val="18"/>
          <w:szCs w:val="18"/>
          <w:lang w:val="de-AT"/>
        </w:rPr>
        <w:t>22 December 1992, chapter 9.2.</w:t>
      </w:r>
    </w:p>
  </w:endnote>
  <w:endnote w:id="59">
    <w:p w14:paraId="33B6E7D0" w14:textId="1AA9C23D"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Finland, </w:t>
      </w:r>
      <w:r w:rsidRPr="00D6034E">
        <w:rPr>
          <w:rFonts w:ascii="Verdana" w:hAnsi="Verdana"/>
          <w:sz w:val="18"/>
          <w:szCs w:val="18"/>
          <w:lang w:bidi="en-US"/>
        </w:rPr>
        <w:t>Government Resolution On Securing Individual Housing and Services for Persons with Intellectual Disabilities (</w:t>
      </w:r>
      <w:hyperlink r:id="rId56" w:anchor="fi" w:history="1">
        <w:r w:rsidRPr="00D6034E">
          <w:rPr>
            <w:rStyle w:val="Hyperlink"/>
            <w:rFonts w:ascii="Verdana" w:hAnsi="Verdana"/>
            <w:i/>
            <w:sz w:val="18"/>
            <w:szCs w:val="18"/>
          </w:rPr>
          <w:t>Valtioneuvoston periaatepäätös kehitysvammaisten henkilöiden yksilöllisen asumisen ja palvelujen turvaamisesta</w:t>
        </w:r>
      </w:hyperlink>
      <w:r w:rsidRPr="00D6034E">
        <w:rPr>
          <w:rFonts w:ascii="Verdana" w:hAnsi="Verdana"/>
          <w:sz w:val="18"/>
          <w:szCs w:val="18"/>
          <w:lang w:bidi="en-US"/>
        </w:rPr>
        <w:t>), 21 January 2010</w:t>
      </w:r>
      <w:r w:rsidRPr="00D6034E">
        <w:rPr>
          <w:rFonts w:ascii="Verdana" w:hAnsi="Verdana"/>
          <w:sz w:val="18"/>
          <w:szCs w:val="18"/>
        </w:rPr>
        <w:t>.</w:t>
      </w:r>
    </w:p>
    <w:p w14:paraId="7D8D5E72" w14:textId="77777777" w:rsidR="00E278E4" w:rsidRPr="00D6034E" w:rsidRDefault="00E278E4" w:rsidP="002C3ACE">
      <w:pPr>
        <w:pStyle w:val="EndnoteText"/>
        <w:rPr>
          <w:rFonts w:ascii="Verdana" w:hAnsi="Verdana"/>
          <w:sz w:val="18"/>
          <w:szCs w:val="18"/>
          <w:lang w:bidi="en-US"/>
        </w:rPr>
      </w:pPr>
    </w:p>
  </w:endnote>
  <w:endnote w:id="60">
    <w:p w14:paraId="3F25C457" w14:textId="336D35C6"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Irish Health (2011), </w:t>
      </w:r>
      <w:hyperlink r:id="rId57" w:history="1">
        <w:r w:rsidRPr="00D6034E">
          <w:rPr>
            <w:rStyle w:val="Hyperlink"/>
            <w:rFonts w:ascii="Verdana" w:hAnsi="Verdana"/>
            <w:sz w:val="18"/>
            <w:szCs w:val="18"/>
          </w:rPr>
          <w:t>Programme for Government Health</w:t>
        </w:r>
      </w:hyperlink>
      <w:r w:rsidRPr="00D6034E">
        <w:rPr>
          <w:rFonts w:ascii="Verdana" w:hAnsi="Verdana"/>
          <w:sz w:val="18"/>
          <w:szCs w:val="18"/>
        </w:rPr>
        <w:t>.</w:t>
      </w:r>
    </w:p>
    <w:p w14:paraId="2622CFC3" w14:textId="77777777" w:rsidR="00E278E4" w:rsidRPr="00D6034E" w:rsidRDefault="00E278E4" w:rsidP="002C3ACE">
      <w:pPr>
        <w:pStyle w:val="EndnoteText"/>
        <w:rPr>
          <w:rFonts w:ascii="Verdana" w:hAnsi="Verdana"/>
          <w:sz w:val="18"/>
          <w:szCs w:val="18"/>
        </w:rPr>
      </w:pPr>
    </w:p>
  </w:endnote>
  <w:endnote w:id="61">
    <w:p w14:paraId="43614FE7" w14:textId="7FB4B83B"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Slovakia, Act No. 448/2008 on Social Services, as amended (</w:t>
      </w:r>
      <w:r w:rsidRPr="00D6034E">
        <w:rPr>
          <w:rFonts w:ascii="Verdana" w:hAnsi="Verdana"/>
          <w:i/>
          <w:sz w:val="18"/>
          <w:szCs w:val="18"/>
        </w:rPr>
        <w:t>Zákon č. 448/2008 Z. z. o sociálnych službách v znení neskorších predpisov</w:t>
      </w:r>
      <w:r w:rsidRPr="00D6034E">
        <w:rPr>
          <w:rFonts w:ascii="Verdana" w:hAnsi="Verdana"/>
          <w:sz w:val="18"/>
          <w:szCs w:val="18"/>
        </w:rPr>
        <w:t>), Article 110l/3, 1 January 2014.</w:t>
      </w:r>
    </w:p>
    <w:p w14:paraId="20893E1D" w14:textId="77777777" w:rsidR="00E278E4" w:rsidRPr="00D6034E" w:rsidRDefault="00E278E4" w:rsidP="002C3ACE">
      <w:pPr>
        <w:pStyle w:val="EndnoteText"/>
        <w:rPr>
          <w:rFonts w:ascii="Verdana" w:hAnsi="Verdana"/>
          <w:sz w:val="18"/>
          <w:szCs w:val="18"/>
        </w:rPr>
      </w:pPr>
    </w:p>
  </w:endnote>
  <w:endnote w:id="62">
    <w:p w14:paraId="2AA91F24" w14:textId="530C9E54"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Sweden, Ministry of Health and Social Affairs (</w:t>
      </w:r>
      <w:r w:rsidRPr="00D6034E">
        <w:rPr>
          <w:rFonts w:ascii="Verdana" w:hAnsi="Verdana"/>
          <w:i/>
          <w:sz w:val="18"/>
          <w:szCs w:val="18"/>
        </w:rPr>
        <w:t>Socialdepartementet</w:t>
      </w:r>
      <w:r w:rsidRPr="00D6034E">
        <w:rPr>
          <w:rFonts w:ascii="Verdana" w:hAnsi="Verdana"/>
          <w:sz w:val="18"/>
          <w:szCs w:val="18"/>
        </w:rPr>
        <w:t>), Act 1997:724 (</w:t>
      </w:r>
      <w:hyperlink r:id="rId58" w:history="1">
        <w:r w:rsidRPr="00D6034E">
          <w:rPr>
            <w:rStyle w:val="Hyperlink"/>
            <w:rFonts w:ascii="Verdana" w:hAnsi="Verdana"/>
            <w:i/>
            <w:sz w:val="18"/>
            <w:szCs w:val="18"/>
          </w:rPr>
          <w:t>Lag (1997:724) om avveckling av specialsjukhus och vårdhem</w:t>
        </w:r>
      </w:hyperlink>
      <w:r w:rsidRPr="00D6034E">
        <w:rPr>
          <w:rFonts w:ascii="Verdana" w:hAnsi="Verdana"/>
          <w:sz w:val="18"/>
          <w:szCs w:val="18"/>
        </w:rPr>
        <w:t>).</w:t>
      </w:r>
    </w:p>
    <w:p w14:paraId="4C20A2F2" w14:textId="77777777" w:rsidR="00E278E4" w:rsidRPr="00D6034E" w:rsidRDefault="00E278E4" w:rsidP="002C3ACE">
      <w:pPr>
        <w:pStyle w:val="EndnoteText"/>
        <w:rPr>
          <w:rFonts w:ascii="Verdana" w:hAnsi="Verdana"/>
          <w:sz w:val="18"/>
          <w:szCs w:val="18"/>
        </w:rPr>
      </w:pPr>
    </w:p>
  </w:endnote>
  <w:endnote w:id="63">
    <w:p w14:paraId="3CD0BB25" w14:textId="1B17F189" w:rsidR="00E278E4" w:rsidRPr="00D6034E" w:rsidRDefault="00E278E4" w:rsidP="002C3ACE">
      <w:pPr>
        <w:pStyle w:val="EndnoteText"/>
        <w:rPr>
          <w:rFonts w:ascii="Verdana" w:hAnsi="Verdana"/>
          <w:sz w:val="18"/>
          <w:szCs w:val="18"/>
          <w:lang w:val="bg-BG"/>
        </w:rPr>
      </w:pPr>
      <w:r w:rsidRPr="00D6034E">
        <w:rPr>
          <w:rStyle w:val="EndnoteReference"/>
          <w:rFonts w:ascii="Verdana" w:hAnsi="Verdana"/>
          <w:sz w:val="18"/>
          <w:szCs w:val="18"/>
        </w:rPr>
        <w:endnoteRef/>
      </w:r>
      <w:r w:rsidRPr="00D6034E">
        <w:rPr>
          <w:rFonts w:ascii="Verdana" w:hAnsi="Verdana"/>
          <w:sz w:val="18"/>
          <w:szCs w:val="18"/>
        </w:rPr>
        <w:t xml:space="preserve"> </w:t>
      </w:r>
      <w:r w:rsidRPr="00D6034E">
        <w:rPr>
          <w:rFonts w:ascii="Verdana" w:hAnsi="Verdana"/>
          <w:sz w:val="18"/>
          <w:szCs w:val="18"/>
          <w:lang w:val="en-US"/>
        </w:rPr>
        <w:t>Bulgaria</w:t>
      </w:r>
      <w:r w:rsidRPr="00D6034E">
        <w:rPr>
          <w:rFonts w:ascii="Verdana" w:hAnsi="Verdana"/>
          <w:sz w:val="18"/>
          <w:szCs w:val="18"/>
          <w:lang w:val="bg-BG"/>
        </w:rPr>
        <w:t xml:space="preserve">, </w:t>
      </w:r>
      <w:r w:rsidRPr="00D6034E">
        <w:rPr>
          <w:rFonts w:ascii="Verdana" w:hAnsi="Verdana"/>
          <w:sz w:val="18"/>
          <w:szCs w:val="18"/>
          <w:lang w:val="en-US"/>
        </w:rPr>
        <w:t>Council</w:t>
      </w:r>
      <w:r w:rsidRPr="00D6034E">
        <w:rPr>
          <w:rFonts w:ascii="Verdana" w:hAnsi="Verdana"/>
          <w:sz w:val="18"/>
          <w:szCs w:val="18"/>
          <w:lang w:val="bg-BG"/>
        </w:rPr>
        <w:t xml:space="preserve"> </w:t>
      </w:r>
      <w:r w:rsidRPr="00D6034E">
        <w:rPr>
          <w:rFonts w:ascii="Verdana" w:hAnsi="Verdana"/>
          <w:sz w:val="18"/>
          <w:szCs w:val="18"/>
          <w:lang w:val="en-US"/>
        </w:rPr>
        <w:t>of</w:t>
      </w:r>
      <w:r w:rsidRPr="00D6034E">
        <w:rPr>
          <w:rFonts w:ascii="Verdana" w:hAnsi="Verdana"/>
          <w:sz w:val="18"/>
          <w:szCs w:val="18"/>
          <w:lang w:val="bg-BG"/>
        </w:rPr>
        <w:t xml:space="preserve"> </w:t>
      </w:r>
      <w:r w:rsidRPr="00D6034E">
        <w:rPr>
          <w:rFonts w:ascii="Verdana" w:hAnsi="Verdana"/>
          <w:sz w:val="18"/>
          <w:szCs w:val="18"/>
          <w:lang w:val="en-US"/>
        </w:rPr>
        <w:t>Ministers</w:t>
      </w:r>
      <w:r w:rsidRPr="00D6034E">
        <w:rPr>
          <w:rFonts w:ascii="Verdana" w:hAnsi="Verdana"/>
          <w:sz w:val="18"/>
          <w:szCs w:val="18"/>
          <w:lang w:val="bg-BG"/>
        </w:rPr>
        <w:t xml:space="preserve"> (</w:t>
      </w:r>
      <w:r w:rsidRPr="00D6034E">
        <w:rPr>
          <w:rFonts w:ascii="Verdana" w:hAnsi="Verdana"/>
          <w:i/>
          <w:sz w:val="18"/>
          <w:szCs w:val="18"/>
          <w:lang w:val="bg-BG"/>
        </w:rPr>
        <w:t>Министерски съвет</w:t>
      </w:r>
      <w:r w:rsidRPr="00D6034E">
        <w:rPr>
          <w:rFonts w:ascii="Verdana" w:hAnsi="Verdana"/>
          <w:sz w:val="18"/>
          <w:szCs w:val="18"/>
          <w:lang w:val="bg-BG"/>
        </w:rPr>
        <w:t xml:space="preserve">) (2014), </w:t>
      </w:r>
      <w:r w:rsidRPr="00D6034E">
        <w:rPr>
          <w:rFonts w:ascii="Verdana" w:hAnsi="Verdana"/>
          <w:sz w:val="18"/>
          <w:szCs w:val="18"/>
          <w:lang w:val="en-US"/>
        </w:rPr>
        <w:t>National</w:t>
      </w:r>
      <w:r w:rsidRPr="00D6034E">
        <w:rPr>
          <w:rFonts w:ascii="Verdana" w:hAnsi="Verdana"/>
          <w:sz w:val="18"/>
          <w:szCs w:val="18"/>
          <w:lang w:val="bg-BG"/>
        </w:rPr>
        <w:t xml:space="preserve"> </w:t>
      </w:r>
      <w:r w:rsidRPr="00D6034E">
        <w:rPr>
          <w:rFonts w:ascii="Verdana" w:hAnsi="Verdana"/>
          <w:sz w:val="18"/>
          <w:szCs w:val="18"/>
          <w:lang w:val="en-US"/>
        </w:rPr>
        <w:t>strategy</w:t>
      </w:r>
      <w:r w:rsidRPr="00D6034E">
        <w:rPr>
          <w:rFonts w:ascii="Verdana" w:hAnsi="Verdana"/>
          <w:sz w:val="18"/>
          <w:szCs w:val="18"/>
          <w:lang w:val="bg-BG"/>
        </w:rPr>
        <w:t xml:space="preserve"> </w:t>
      </w:r>
      <w:r w:rsidRPr="00D6034E">
        <w:rPr>
          <w:rFonts w:ascii="Verdana" w:hAnsi="Verdana"/>
          <w:sz w:val="18"/>
          <w:szCs w:val="18"/>
          <w:lang w:val="en-US"/>
        </w:rPr>
        <w:t>for</w:t>
      </w:r>
      <w:r w:rsidRPr="00D6034E">
        <w:rPr>
          <w:rFonts w:ascii="Verdana" w:hAnsi="Verdana"/>
          <w:sz w:val="18"/>
          <w:szCs w:val="18"/>
          <w:lang w:val="bg-BG"/>
        </w:rPr>
        <w:t xml:space="preserve"> </w:t>
      </w:r>
      <w:r w:rsidRPr="00D6034E">
        <w:rPr>
          <w:rFonts w:ascii="Verdana" w:hAnsi="Verdana"/>
          <w:sz w:val="18"/>
          <w:szCs w:val="18"/>
          <w:lang w:val="en-US"/>
        </w:rPr>
        <w:t>long</w:t>
      </w:r>
      <w:r w:rsidRPr="00D6034E">
        <w:rPr>
          <w:rFonts w:ascii="Verdana" w:hAnsi="Verdana"/>
          <w:sz w:val="18"/>
          <w:szCs w:val="18"/>
          <w:lang w:val="bg-BG"/>
        </w:rPr>
        <w:t>-</w:t>
      </w:r>
      <w:r w:rsidRPr="00D6034E">
        <w:rPr>
          <w:rFonts w:ascii="Verdana" w:hAnsi="Verdana"/>
          <w:sz w:val="18"/>
          <w:szCs w:val="18"/>
          <w:lang w:val="en-US"/>
        </w:rPr>
        <w:t>term</w:t>
      </w:r>
      <w:r w:rsidRPr="00D6034E">
        <w:rPr>
          <w:rFonts w:ascii="Verdana" w:hAnsi="Verdana"/>
          <w:sz w:val="18"/>
          <w:szCs w:val="18"/>
          <w:lang w:val="bg-BG"/>
        </w:rPr>
        <w:t xml:space="preserve"> </w:t>
      </w:r>
      <w:r w:rsidRPr="00D6034E">
        <w:rPr>
          <w:rFonts w:ascii="Verdana" w:hAnsi="Verdana"/>
          <w:sz w:val="18"/>
          <w:szCs w:val="18"/>
          <w:lang w:val="en-US"/>
        </w:rPr>
        <w:t>care</w:t>
      </w:r>
      <w:r w:rsidRPr="00D6034E">
        <w:rPr>
          <w:rFonts w:ascii="Verdana" w:hAnsi="Verdana"/>
          <w:i/>
          <w:sz w:val="18"/>
          <w:szCs w:val="18"/>
          <w:lang w:val="bg-BG"/>
        </w:rPr>
        <w:t xml:space="preserve"> </w:t>
      </w:r>
      <w:r w:rsidRPr="00D6034E">
        <w:rPr>
          <w:rFonts w:ascii="Verdana" w:hAnsi="Verdana"/>
          <w:sz w:val="18"/>
          <w:szCs w:val="18"/>
          <w:lang w:val="bg-BG"/>
        </w:rPr>
        <w:t>(</w:t>
      </w:r>
      <w:hyperlink r:id="rId59" w:history="1">
        <w:r w:rsidRPr="00D6034E">
          <w:rPr>
            <w:rStyle w:val="Hyperlink"/>
            <w:rFonts w:ascii="Verdana" w:hAnsi="Verdana"/>
            <w:i/>
            <w:sz w:val="18"/>
            <w:szCs w:val="18"/>
            <w:lang w:val="bg-BG"/>
          </w:rPr>
          <w:t>Национална стратегия за дългосрочна грижа</w:t>
        </w:r>
      </w:hyperlink>
      <w:r w:rsidRPr="00D6034E">
        <w:rPr>
          <w:rFonts w:ascii="Verdana" w:hAnsi="Verdana"/>
          <w:sz w:val="18"/>
          <w:szCs w:val="18"/>
          <w:lang w:val="bg-BG"/>
        </w:rPr>
        <w:t xml:space="preserve">), 7 </w:t>
      </w:r>
      <w:r w:rsidRPr="00D6034E">
        <w:rPr>
          <w:rFonts w:ascii="Verdana" w:hAnsi="Verdana"/>
          <w:sz w:val="18"/>
          <w:szCs w:val="18"/>
          <w:lang w:val="en-US"/>
        </w:rPr>
        <w:t>January</w:t>
      </w:r>
      <w:r w:rsidRPr="00D6034E">
        <w:rPr>
          <w:rFonts w:ascii="Verdana" w:hAnsi="Verdana"/>
          <w:sz w:val="18"/>
          <w:szCs w:val="18"/>
          <w:lang w:val="bg-BG"/>
        </w:rPr>
        <w:t xml:space="preserve"> 2014, </w:t>
      </w:r>
      <w:r w:rsidRPr="00D6034E">
        <w:rPr>
          <w:rFonts w:ascii="Verdana" w:hAnsi="Verdana"/>
          <w:sz w:val="18"/>
          <w:szCs w:val="18"/>
          <w:lang w:val="en-US"/>
        </w:rPr>
        <w:t>p. </w:t>
      </w:r>
      <w:r w:rsidRPr="00D6034E">
        <w:rPr>
          <w:rFonts w:ascii="Verdana" w:hAnsi="Verdana"/>
          <w:sz w:val="18"/>
          <w:szCs w:val="18"/>
          <w:lang w:val="bg-BG"/>
        </w:rPr>
        <w:t>17.</w:t>
      </w:r>
    </w:p>
    <w:p w14:paraId="2E0E7224" w14:textId="77777777" w:rsidR="00E278E4" w:rsidRPr="00D6034E" w:rsidRDefault="00E278E4" w:rsidP="002C3ACE">
      <w:pPr>
        <w:pStyle w:val="EndnoteText"/>
        <w:rPr>
          <w:rFonts w:ascii="Verdana" w:hAnsi="Verdana"/>
          <w:sz w:val="18"/>
          <w:szCs w:val="18"/>
          <w:lang w:val="bg-BG"/>
        </w:rPr>
      </w:pPr>
    </w:p>
  </w:endnote>
  <w:endnote w:id="64">
    <w:p w14:paraId="707EF51C" w14:textId="0BDDD738" w:rsidR="00E278E4" w:rsidRPr="00D6034E" w:rsidRDefault="00E278E4" w:rsidP="002C3ACE">
      <w:pPr>
        <w:pStyle w:val="EndnoteText"/>
        <w:rPr>
          <w:rFonts w:ascii="Verdana" w:hAnsi="Verdana"/>
          <w:bCs/>
          <w:i/>
          <w:sz w:val="18"/>
          <w:szCs w:val="18"/>
        </w:rPr>
      </w:pPr>
      <w:r w:rsidRPr="00D6034E">
        <w:rPr>
          <w:rStyle w:val="EndnoteReference"/>
          <w:rFonts w:ascii="Verdana" w:hAnsi="Verdana"/>
          <w:sz w:val="18"/>
          <w:szCs w:val="18"/>
        </w:rPr>
        <w:endnoteRef/>
      </w:r>
      <w:r w:rsidRPr="00D6034E">
        <w:rPr>
          <w:rFonts w:ascii="Verdana" w:hAnsi="Verdana"/>
          <w:sz w:val="18"/>
          <w:szCs w:val="18"/>
        </w:rPr>
        <w:t xml:space="preserve"> Hungary, </w:t>
      </w:r>
      <w:r>
        <w:rPr>
          <w:rFonts w:ascii="Verdana" w:hAnsi="Verdana"/>
          <w:sz w:val="18"/>
          <w:szCs w:val="18"/>
          <w:lang w:bidi="en-US"/>
        </w:rPr>
        <w:t>Government</w:t>
      </w:r>
      <w:r w:rsidRPr="00D6034E">
        <w:rPr>
          <w:rFonts w:ascii="Verdana" w:hAnsi="Verdana"/>
          <w:sz w:val="18"/>
          <w:szCs w:val="18"/>
          <w:lang w:bidi="en-US"/>
        </w:rPr>
        <w:t xml:space="preserve"> Resolution 1257/2011 (VII. 21.) regarding the Deinstitutionalisation of Social Care Institutions for People with Disabilities (</w:t>
      </w:r>
      <w:hyperlink r:id="rId60" w:history="1">
        <w:r w:rsidRPr="00D6034E">
          <w:rPr>
            <w:rStyle w:val="Hyperlink"/>
            <w:rFonts w:ascii="Verdana" w:hAnsi="Verdana"/>
            <w:i/>
            <w:sz w:val="18"/>
            <w:szCs w:val="18"/>
            <w:lang w:bidi="en-US"/>
          </w:rPr>
          <w:t>A Kormány 1257/2011. (VII.21.) Korm. határozata</w:t>
        </w:r>
        <w:r w:rsidRPr="00D6034E">
          <w:rPr>
            <w:rStyle w:val="Hyperlink"/>
            <w:rFonts w:ascii="Verdana" w:hAnsi="Verdana"/>
            <w:bCs/>
            <w:i/>
            <w:sz w:val="18"/>
            <w:szCs w:val="18"/>
            <w:lang w:bidi="en-US"/>
          </w:rPr>
          <w:t xml:space="preserve"> </w:t>
        </w:r>
        <w:r w:rsidRPr="00D6034E">
          <w:rPr>
            <w:rStyle w:val="Hyperlink"/>
            <w:rFonts w:ascii="Verdana" w:hAnsi="Verdana"/>
            <w:bCs/>
            <w:i/>
            <w:sz w:val="18"/>
            <w:szCs w:val="18"/>
          </w:rPr>
          <w:t>a fogyatékos személyek számára ápolást-gondozást nyújtó szociális intézményi férőhelyek kiváltásának stratégiájáról és a végrehajtásával kapcsolatos kormányzati feladatokról</w:t>
        </w:r>
      </w:hyperlink>
      <w:r w:rsidRPr="00D6034E">
        <w:rPr>
          <w:rFonts w:ascii="Verdana" w:hAnsi="Verdana"/>
          <w:bCs/>
          <w:i/>
          <w:sz w:val="18"/>
          <w:szCs w:val="18"/>
        </w:rPr>
        <w:t>).</w:t>
      </w:r>
    </w:p>
    <w:p w14:paraId="03F0C67F" w14:textId="77777777" w:rsidR="00E278E4" w:rsidRPr="00D6034E" w:rsidRDefault="00E278E4" w:rsidP="002C3ACE">
      <w:pPr>
        <w:pStyle w:val="EndnoteText"/>
        <w:rPr>
          <w:rFonts w:ascii="Verdana" w:hAnsi="Verdana"/>
          <w:sz w:val="18"/>
          <w:szCs w:val="18"/>
        </w:rPr>
      </w:pPr>
    </w:p>
  </w:endnote>
  <w:endnote w:id="65">
    <w:p w14:paraId="6AC9CC17" w14:textId="006E8093" w:rsidR="00E278E4" w:rsidRPr="00D6034E" w:rsidRDefault="00E278E4" w:rsidP="002C3ACE">
      <w:pPr>
        <w:pStyle w:val="EndnoteText"/>
        <w:rPr>
          <w:rFonts w:ascii="Verdana" w:hAnsi="Verdana"/>
          <w:sz w:val="18"/>
          <w:szCs w:val="18"/>
          <w:lang w:bidi="en-US"/>
        </w:rPr>
      </w:pPr>
      <w:r w:rsidRPr="00D6034E">
        <w:rPr>
          <w:rStyle w:val="EndnoteReference"/>
          <w:rFonts w:ascii="Verdana" w:hAnsi="Verdana"/>
          <w:sz w:val="18"/>
          <w:szCs w:val="18"/>
        </w:rPr>
        <w:endnoteRef/>
      </w:r>
      <w:r w:rsidRPr="00D6034E">
        <w:rPr>
          <w:rFonts w:ascii="Verdana" w:hAnsi="Verdana"/>
          <w:sz w:val="18"/>
          <w:szCs w:val="18"/>
        </w:rPr>
        <w:t xml:space="preserve"> Romania (2015), </w:t>
      </w:r>
      <w:hyperlink r:id="rId61" w:history="1">
        <w:r w:rsidRPr="00D6034E">
          <w:rPr>
            <w:rStyle w:val="Hyperlink"/>
            <w:rFonts w:ascii="Verdana" w:hAnsi="Verdana"/>
            <w:sz w:val="18"/>
            <w:szCs w:val="18"/>
            <w:lang w:val="en-US"/>
          </w:rPr>
          <w:t>Minutes of the public debates on the future National Strategy 2015-2020 from 30</w:t>
        </w:r>
        <w:r w:rsidRPr="00D6034E">
          <w:rPr>
            <w:rStyle w:val="Hyperlink"/>
            <w:rFonts w:ascii="Verdana" w:hAnsi="Verdana"/>
            <w:sz w:val="18"/>
            <w:szCs w:val="18"/>
            <w:vertAlign w:val="superscript"/>
            <w:lang w:val="en-US"/>
          </w:rPr>
          <w:t>th</w:t>
        </w:r>
        <w:r w:rsidRPr="00D6034E">
          <w:rPr>
            <w:rStyle w:val="Hyperlink"/>
            <w:rFonts w:ascii="Verdana" w:hAnsi="Verdana"/>
            <w:sz w:val="18"/>
            <w:szCs w:val="18"/>
            <w:lang w:val="en-US"/>
          </w:rPr>
          <w:t xml:space="preserve"> January 2015</w:t>
        </w:r>
      </w:hyperlink>
      <w:r w:rsidRPr="00D6034E">
        <w:rPr>
          <w:rFonts w:ascii="Verdana" w:hAnsi="Verdana"/>
          <w:sz w:val="18"/>
          <w:szCs w:val="18"/>
          <w:lang w:val="en-US"/>
        </w:rPr>
        <w:t xml:space="preserve">. See also: Economica.net, </w:t>
      </w:r>
      <w:hyperlink r:id="rId62" w:history="1">
        <w:r w:rsidRPr="00D6034E">
          <w:rPr>
            <w:rStyle w:val="Hyperlink"/>
            <w:rFonts w:ascii="Verdana" w:hAnsi="Verdana"/>
            <w:i/>
            <w:sz w:val="18"/>
            <w:szCs w:val="18"/>
          </w:rPr>
          <w:t>Persoanele cu dizabilităţi vor fi dezinstituţionalizate până în 2020 - Scutaru, Ministerul Muncii</w:t>
        </w:r>
      </w:hyperlink>
      <w:r w:rsidRPr="00D6034E">
        <w:rPr>
          <w:rFonts w:ascii="Verdana" w:hAnsi="Verdana"/>
          <w:sz w:val="18"/>
          <w:szCs w:val="18"/>
          <w:lang w:val="en-US"/>
        </w:rPr>
        <w:t xml:space="preserve"> (People with disabilities will be deinstitutionalised by 2020), 12 December 2014</w:t>
      </w:r>
      <w:r w:rsidRPr="00D6034E">
        <w:rPr>
          <w:rFonts w:ascii="Verdana" w:hAnsi="Verdana"/>
          <w:sz w:val="18"/>
          <w:szCs w:val="18"/>
          <w:lang w:bidi="en-US"/>
        </w:rPr>
        <w:t xml:space="preserve">. </w:t>
      </w:r>
    </w:p>
    <w:p w14:paraId="2A473CAE" w14:textId="77777777" w:rsidR="00E278E4" w:rsidRPr="00D6034E" w:rsidRDefault="00E278E4" w:rsidP="002C3ACE">
      <w:pPr>
        <w:pStyle w:val="EndnoteText"/>
        <w:rPr>
          <w:rFonts w:ascii="Verdana" w:hAnsi="Verdana"/>
          <w:sz w:val="18"/>
          <w:szCs w:val="18"/>
          <w:lang w:val="en-US"/>
        </w:rPr>
      </w:pPr>
    </w:p>
  </w:endnote>
  <w:endnote w:id="66">
    <w:p w14:paraId="559E8B63" w14:textId="41A0A6F2" w:rsidR="00E278E4" w:rsidRPr="00D6034E" w:rsidRDefault="00E278E4" w:rsidP="002C3ACE">
      <w:pPr>
        <w:pStyle w:val="EndnoteText"/>
        <w:rPr>
          <w:rFonts w:ascii="Verdana" w:hAnsi="Verdana"/>
          <w:sz w:val="18"/>
          <w:szCs w:val="18"/>
          <w:lang w:bidi="en-US"/>
        </w:rPr>
      </w:pPr>
      <w:r w:rsidRPr="00D6034E">
        <w:rPr>
          <w:rStyle w:val="EndnoteReference"/>
          <w:rFonts w:ascii="Verdana" w:hAnsi="Verdana"/>
          <w:sz w:val="18"/>
          <w:szCs w:val="18"/>
        </w:rPr>
        <w:endnoteRef/>
      </w:r>
      <w:r w:rsidRPr="00D6034E">
        <w:rPr>
          <w:rFonts w:ascii="Verdana" w:hAnsi="Verdana"/>
          <w:sz w:val="18"/>
          <w:szCs w:val="18"/>
        </w:rPr>
        <w:t xml:space="preserve"> Estonia, Ministry of Social Affairs (</w:t>
      </w:r>
      <w:r w:rsidRPr="00D6034E">
        <w:rPr>
          <w:rFonts w:ascii="Verdana" w:hAnsi="Verdana"/>
          <w:i/>
          <w:sz w:val="18"/>
          <w:szCs w:val="18"/>
          <w:lang w:bidi="en-US"/>
        </w:rPr>
        <w:t>Sotsiaalministeerium</w:t>
      </w:r>
      <w:r w:rsidRPr="00D6034E">
        <w:rPr>
          <w:rFonts w:ascii="Verdana" w:hAnsi="Verdana"/>
          <w:sz w:val="18"/>
          <w:szCs w:val="18"/>
          <w:lang w:bidi="en-US"/>
        </w:rPr>
        <w:t xml:space="preserve">) (2014), </w:t>
      </w:r>
      <w:hyperlink r:id="rId63" w:history="1">
        <w:r w:rsidRPr="00D6034E">
          <w:rPr>
            <w:rStyle w:val="Hyperlink"/>
            <w:rFonts w:ascii="Verdana" w:hAnsi="Verdana"/>
            <w:sz w:val="18"/>
            <w:szCs w:val="18"/>
            <w:lang w:bidi="en-US"/>
          </w:rPr>
          <w:t>Special Care and Welfare Development plan for 2014-2020</w:t>
        </w:r>
      </w:hyperlink>
      <w:r w:rsidRPr="00D6034E">
        <w:rPr>
          <w:rFonts w:ascii="Verdana" w:hAnsi="Verdana"/>
          <w:sz w:val="18"/>
          <w:szCs w:val="18"/>
          <w:lang w:bidi="en-US"/>
        </w:rPr>
        <w:t xml:space="preserve"> (</w:t>
      </w:r>
      <w:r w:rsidRPr="00D6034E">
        <w:rPr>
          <w:rFonts w:ascii="Verdana" w:hAnsi="Verdana"/>
          <w:i/>
          <w:sz w:val="18"/>
          <w:szCs w:val="18"/>
          <w:lang w:bidi="en-US"/>
        </w:rPr>
        <w:t>Erihoolekande arengukava aastateks 2014-2020</w:t>
      </w:r>
      <w:r w:rsidRPr="00D6034E">
        <w:rPr>
          <w:rFonts w:ascii="Verdana" w:hAnsi="Verdana"/>
          <w:sz w:val="18"/>
          <w:szCs w:val="18"/>
          <w:lang w:bidi="en-US"/>
        </w:rPr>
        <w:t>).</w:t>
      </w:r>
    </w:p>
    <w:p w14:paraId="3F611450" w14:textId="77777777" w:rsidR="00E278E4" w:rsidRPr="00D6034E" w:rsidRDefault="00E278E4" w:rsidP="002C3ACE">
      <w:pPr>
        <w:pStyle w:val="EndnoteText"/>
        <w:rPr>
          <w:rFonts w:ascii="Verdana" w:hAnsi="Verdana"/>
          <w:sz w:val="18"/>
          <w:szCs w:val="18"/>
          <w:lang w:val="en-US"/>
        </w:rPr>
      </w:pPr>
    </w:p>
  </w:endnote>
  <w:endnote w:id="67">
    <w:p w14:paraId="6206097D" w14:textId="4B316EE6"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CRPD Committee (2017), </w:t>
      </w:r>
      <w:hyperlink r:id="rId64" w:history="1">
        <w:r w:rsidRPr="00D6034E">
          <w:rPr>
            <w:rStyle w:val="Hyperlink"/>
            <w:rFonts w:ascii="Verdana" w:hAnsi="Verdana"/>
            <w:sz w:val="18"/>
            <w:szCs w:val="18"/>
          </w:rPr>
          <w:t>General Comment No. 5 – Article 19: Living independently and being included in the community</w:t>
        </w:r>
      </w:hyperlink>
      <w:r w:rsidRPr="00D6034E">
        <w:rPr>
          <w:rFonts w:ascii="Verdana" w:hAnsi="Verdana"/>
          <w:sz w:val="18"/>
          <w:szCs w:val="18"/>
        </w:rPr>
        <w:t>, CRPD/C/18/1, 29 August 2017, para. 98 (g).</w:t>
      </w:r>
    </w:p>
  </w:endnote>
  <w:endnote w:id="68">
    <w:p w14:paraId="23503BB1" w14:textId="77777777" w:rsidR="00605EE9" w:rsidRDefault="00605EE9" w:rsidP="002C3ACE">
      <w:pPr>
        <w:pStyle w:val="EndnoteText"/>
        <w:rPr>
          <w:rFonts w:ascii="Verdana" w:hAnsi="Verdana"/>
          <w:sz w:val="18"/>
          <w:szCs w:val="18"/>
        </w:rPr>
      </w:pPr>
    </w:p>
    <w:p w14:paraId="3122E9C5" w14:textId="50EB46E3"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CRPD Committee (2017), </w:t>
      </w:r>
      <w:hyperlink r:id="rId65" w:history="1">
        <w:r w:rsidRPr="00D6034E">
          <w:rPr>
            <w:rStyle w:val="Hyperlink"/>
            <w:rFonts w:ascii="Verdana" w:hAnsi="Verdana"/>
            <w:sz w:val="18"/>
            <w:szCs w:val="18"/>
          </w:rPr>
          <w:t>General Comment No. 5 – Article 19: Living independently and being included in the community</w:t>
        </w:r>
      </w:hyperlink>
      <w:r w:rsidRPr="00D6034E">
        <w:rPr>
          <w:rFonts w:ascii="Verdana" w:hAnsi="Verdana"/>
          <w:sz w:val="18"/>
          <w:szCs w:val="18"/>
        </w:rPr>
        <w:t>, CRPD/C/18/1, 29 August 2017, para. 16 (c).</w:t>
      </w:r>
    </w:p>
  </w:endnote>
  <w:endnote w:id="69">
    <w:p w14:paraId="1E224225" w14:textId="77777777" w:rsidR="00605EE9" w:rsidRDefault="00605EE9" w:rsidP="002C3ACE">
      <w:pPr>
        <w:pStyle w:val="EndnoteText"/>
        <w:rPr>
          <w:rFonts w:ascii="Verdana" w:hAnsi="Verdana"/>
          <w:sz w:val="18"/>
          <w:szCs w:val="18"/>
        </w:rPr>
      </w:pPr>
    </w:p>
    <w:p w14:paraId="5327A06F" w14:textId="7E0BD8E5" w:rsidR="00E278E4" w:rsidRDefault="00E278E4" w:rsidP="002C3ACE">
      <w:pPr>
        <w:pStyle w:val="EndnoteText"/>
        <w:rPr>
          <w:rStyle w:val="Hyperlink"/>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Sweden, Ministry of Health and Social Affairs (</w:t>
      </w:r>
      <w:r w:rsidRPr="00D6034E">
        <w:rPr>
          <w:rFonts w:ascii="Verdana" w:hAnsi="Verdana"/>
          <w:i/>
          <w:sz w:val="18"/>
          <w:szCs w:val="18"/>
        </w:rPr>
        <w:t>Socialdepartementet</w:t>
      </w:r>
      <w:r w:rsidRPr="00D6034E">
        <w:rPr>
          <w:rFonts w:ascii="Verdana" w:hAnsi="Verdana"/>
          <w:sz w:val="18"/>
          <w:szCs w:val="18"/>
        </w:rPr>
        <w:t>), Act 1997:724 (</w:t>
      </w:r>
      <w:hyperlink r:id="rId66" w:history="1">
        <w:r w:rsidRPr="00D6034E">
          <w:rPr>
            <w:rStyle w:val="Hyperlink"/>
            <w:rFonts w:ascii="Verdana" w:hAnsi="Verdana"/>
            <w:i/>
            <w:sz w:val="18"/>
            <w:szCs w:val="18"/>
          </w:rPr>
          <w:t>Lag (1997:724) om avveckling av specialsjukhus och vårdhem</w:t>
        </w:r>
      </w:hyperlink>
      <w:r w:rsidRPr="00D6034E">
        <w:rPr>
          <w:rFonts w:ascii="Verdana" w:hAnsi="Verdana"/>
          <w:sz w:val="18"/>
          <w:szCs w:val="18"/>
        </w:rPr>
        <w:t>)</w:t>
      </w:r>
      <w:r w:rsidRPr="00D6034E">
        <w:rPr>
          <w:rStyle w:val="Hyperlink"/>
          <w:rFonts w:ascii="Verdana" w:hAnsi="Verdana"/>
          <w:sz w:val="18"/>
          <w:szCs w:val="18"/>
        </w:rPr>
        <w:t>.</w:t>
      </w:r>
    </w:p>
    <w:p w14:paraId="1F1FB2FC" w14:textId="77777777" w:rsidR="00605EE9" w:rsidRPr="00D6034E" w:rsidRDefault="00605EE9" w:rsidP="002C3ACE">
      <w:pPr>
        <w:pStyle w:val="EndnoteText"/>
        <w:rPr>
          <w:rFonts w:ascii="Verdana" w:hAnsi="Verdana"/>
          <w:sz w:val="18"/>
          <w:szCs w:val="18"/>
        </w:rPr>
      </w:pPr>
    </w:p>
  </w:endnote>
  <w:endnote w:id="70">
    <w:p w14:paraId="4DD371B7" w14:textId="7018966C"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See </w:t>
      </w:r>
      <w:hyperlink r:id="rId67" w:history="1">
        <w:r w:rsidRPr="00D6034E">
          <w:rPr>
            <w:rStyle w:val="Hyperlink"/>
            <w:rFonts w:ascii="Verdana" w:hAnsi="Verdana"/>
            <w:sz w:val="18"/>
            <w:szCs w:val="18"/>
          </w:rPr>
          <w:t>website of Lev</w:t>
        </w:r>
      </w:hyperlink>
      <w:r w:rsidRPr="00D6034E">
        <w:rPr>
          <w:rFonts w:ascii="Verdana" w:hAnsi="Verdana"/>
          <w:sz w:val="18"/>
          <w:szCs w:val="18"/>
        </w:rPr>
        <w:t xml:space="preserve"> (2014); The Danish Institute for Human Rights, </w:t>
      </w:r>
      <w:hyperlink r:id="rId68" w:history="1">
        <w:r w:rsidRPr="00D6034E">
          <w:rPr>
            <w:rStyle w:val="Hyperlink"/>
            <w:rFonts w:ascii="Verdana" w:hAnsi="Verdana"/>
            <w:i/>
            <w:sz w:val="18"/>
            <w:szCs w:val="18"/>
          </w:rPr>
          <w:t>The Ten Greatest Challenges</w:t>
        </w:r>
      </w:hyperlink>
      <w:r w:rsidRPr="00D6034E">
        <w:rPr>
          <w:rFonts w:ascii="Verdana" w:hAnsi="Verdana"/>
          <w:i/>
          <w:sz w:val="18"/>
          <w:szCs w:val="18"/>
        </w:rPr>
        <w:t>,</w:t>
      </w:r>
      <w:r w:rsidRPr="00D6034E">
        <w:rPr>
          <w:rFonts w:ascii="Verdana" w:hAnsi="Verdana"/>
          <w:sz w:val="18"/>
          <w:szCs w:val="18"/>
        </w:rPr>
        <w:t xml:space="preserve"> Copenhagen.</w:t>
      </w:r>
    </w:p>
    <w:p w14:paraId="3242AD79" w14:textId="77777777" w:rsidR="00E278E4" w:rsidRPr="00D6034E" w:rsidRDefault="00E278E4" w:rsidP="002C3ACE">
      <w:pPr>
        <w:pStyle w:val="EndnoteText"/>
        <w:rPr>
          <w:rFonts w:ascii="Verdana" w:hAnsi="Verdana"/>
          <w:sz w:val="18"/>
          <w:szCs w:val="18"/>
        </w:rPr>
      </w:pPr>
    </w:p>
  </w:endnote>
  <w:endnote w:id="71">
    <w:p w14:paraId="43BE4AA1" w14:textId="77997CFF"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Aalto M., Öberg A., Rolfer B. and Hauksson J. (2015), </w:t>
      </w:r>
      <w:hyperlink r:id="rId69" w:history="1">
        <w:r w:rsidRPr="00D6034E">
          <w:rPr>
            <w:rStyle w:val="Hyperlink"/>
            <w:rFonts w:ascii="Verdana" w:hAnsi="Verdana"/>
            <w:i/>
            <w:iCs/>
            <w:sz w:val="18"/>
            <w:szCs w:val="18"/>
          </w:rPr>
          <w:t>The right to a home of my own</w:t>
        </w:r>
      </w:hyperlink>
      <w:r w:rsidRPr="00D6034E">
        <w:rPr>
          <w:rFonts w:ascii="Verdana" w:hAnsi="Verdana"/>
          <w:sz w:val="18"/>
          <w:szCs w:val="18"/>
        </w:rPr>
        <w:t>, Stockholm, Nordic Centre for Welfare and Social Issues.</w:t>
      </w:r>
      <w:r w:rsidRPr="00D6034E" w:rsidDel="006E1918">
        <w:rPr>
          <w:rFonts w:ascii="Verdana" w:hAnsi="Verdana"/>
          <w:sz w:val="18"/>
          <w:szCs w:val="18"/>
        </w:rPr>
        <w:t xml:space="preserve"> </w:t>
      </w:r>
    </w:p>
    <w:p w14:paraId="4305CB0E" w14:textId="77777777" w:rsidR="00E278E4" w:rsidRPr="00D6034E" w:rsidRDefault="00E278E4" w:rsidP="002C3ACE">
      <w:pPr>
        <w:pStyle w:val="EndnoteText"/>
        <w:rPr>
          <w:rFonts w:ascii="Verdana" w:hAnsi="Verdana"/>
          <w:sz w:val="18"/>
          <w:szCs w:val="18"/>
        </w:rPr>
      </w:pPr>
    </w:p>
  </w:endnote>
  <w:endnote w:id="72">
    <w:p w14:paraId="5730151A" w14:textId="565D44DC"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Hungary, Social Care Act, Article 66/A(2)). Information on the 2015 amendment of the Social Care Act (</w:t>
      </w:r>
      <w:hyperlink r:id="rId70" w:history="1">
        <w:r w:rsidRPr="00D6034E">
          <w:rPr>
            <w:rStyle w:val="Hyperlink"/>
            <w:rFonts w:ascii="Verdana" w:hAnsi="Verdana"/>
            <w:i/>
            <w:sz w:val="18"/>
            <w:szCs w:val="18"/>
          </w:rPr>
          <w:t>Tájekoztató a szociális igazgatásról és szociális ellátásokról szóló 1993. évi III. törvény (a továbbiakban: Szt.) szociális szolgáltatásokat érintő módosításairól, valamint a kapcsolódó végrehajtási rendeletek módosításairól</w:t>
        </w:r>
      </w:hyperlink>
      <w:r w:rsidRPr="00D6034E">
        <w:rPr>
          <w:rFonts w:ascii="Verdana" w:hAnsi="Verdana"/>
          <w:sz w:val="18"/>
          <w:szCs w:val="18"/>
        </w:rPr>
        <w:t>), p. 2.</w:t>
      </w:r>
    </w:p>
    <w:p w14:paraId="7287BF46" w14:textId="77777777" w:rsidR="00E278E4" w:rsidRPr="00D6034E" w:rsidRDefault="00E278E4" w:rsidP="002C3ACE">
      <w:pPr>
        <w:pStyle w:val="EndnoteText"/>
        <w:rPr>
          <w:rFonts w:ascii="Verdana" w:hAnsi="Verdana"/>
          <w:sz w:val="18"/>
          <w:szCs w:val="18"/>
        </w:rPr>
      </w:pPr>
    </w:p>
  </w:endnote>
  <w:endnote w:id="73">
    <w:p w14:paraId="66389ADB" w14:textId="504BB898" w:rsidR="00E278E4" w:rsidRPr="00D6034E" w:rsidRDefault="00E278E4" w:rsidP="002C3ACE">
      <w:pPr>
        <w:pStyle w:val="EndnoteText"/>
        <w:rPr>
          <w:rFonts w:ascii="Verdana" w:hAnsi="Verdana"/>
          <w:sz w:val="18"/>
          <w:szCs w:val="18"/>
          <w:lang w:bidi="en-US"/>
        </w:rPr>
      </w:pPr>
      <w:r w:rsidRPr="00D6034E">
        <w:rPr>
          <w:rStyle w:val="EndnoteReference"/>
          <w:rFonts w:ascii="Verdana" w:hAnsi="Verdana"/>
          <w:sz w:val="18"/>
          <w:szCs w:val="18"/>
        </w:rPr>
        <w:endnoteRef/>
      </w:r>
      <w:r w:rsidRPr="00D6034E">
        <w:rPr>
          <w:rFonts w:ascii="Verdana" w:hAnsi="Verdana"/>
          <w:sz w:val="18"/>
          <w:szCs w:val="18"/>
        </w:rPr>
        <w:t xml:space="preserve"> Estonia, Ministry of Social Affairs (</w:t>
      </w:r>
      <w:r w:rsidRPr="00D6034E">
        <w:rPr>
          <w:rFonts w:ascii="Verdana" w:hAnsi="Verdana"/>
          <w:i/>
          <w:sz w:val="18"/>
          <w:szCs w:val="18"/>
          <w:lang w:bidi="en-US"/>
        </w:rPr>
        <w:t>Sotsiaalministeerium</w:t>
      </w:r>
      <w:r w:rsidRPr="00D6034E">
        <w:rPr>
          <w:rFonts w:ascii="Verdana" w:hAnsi="Verdana"/>
          <w:sz w:val="18"/>
          <w:szCs w:val="18"/>
          <w:lang w:bidi="en-US"/>
        </w:rPr>
        <w:t xml:space="preserve">) (2014), </w:t>
      </w:r>
      <w:hyperlink r:id="rId71" w:history="1">
        <w:r w:rsidRPr="00D6034E">
          <w:rPr>
            <w:rStyle w:val="Hyperlink"/>
            <w:rFonts w:ascii="Verdana" w:hAnsi="Verdana"/>
            <w:sz w:val="18"/>
            <w:szCs w:val="18"/>
            <w:lang w:bidi="en-US"/>
          </w:rPr>
          <w:t>Special Care and Welfare Development plan for 2014-2020</w:t>
        </w:r>
      </w:hyperlink>
      <w:r w:rsidRPr="00D6034E">
        <w:rPr>
          <w:rFonts w:ascii="Verdana" w:hAnsi="Verdana"/>
          <w:sz w:val="18"/>
          <w:szCs w:val="18"/>
          <w:lang w:bidi="en-US"/>
        </w:rPr>
        <w:t xml:space="preserve"> (</w:t>
      </w:r>
      <w:r w:rsidRPr="00D6034E">
        <w:rPr>
          <w:rFonts w:ascii="Verdana" w:hAnsi="Verdana"/>
          <w:i/>
          <w:sz w:val="18"/>
          <w:szCs w:val="18"/>
          <w:lang w:bidi="en-US"/>
        </w:rPr>
        <w:t>Erihoolekande arengukava aastateks 2014-2020</w:t>
      </w:r>
      <w:r w:rsidRPr="00D6034E">
        <w:rPr>
          <w:rFonts w:ascii="Verdana" w:hAnsi="Verdana"/>
          <w:sz w:val="18"/>
          <w:szCs w:val="18"/>
          <w:lang w:bidi="en-US"/>
        </w:rPr>
        <w:t>), Strategic objective 2.</w:t>
      </w:r>
    </w:p>
    <w:p w14:paraId="5CC1CC1A" w14:textId="77777777" w:rsidR="00E278E4" w:rsidRPr="00D6034E" w:rsidRDefault="00E278E4" w:rsidP="002C3ACE">
      <w:pPr>
        <w:pStyle w:val="EndnoteText"/>
        <w:rPr>
          <w:rFonts w:ascii="Verdana" w:hAnsi="Verdana"/>
          <w:sz w:val="18"/>
          <w:szCs w:val="18"/>
        </w:rPr>
      </w:pPr>
    </w:p>
  </w:endnote>
  <w:endnote w:id="74">
    <w:p w14:paraId="344C42D3" w14:textId="11BFDC09"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Greece, Psychargos Programme (</w:t>
      </w:r>
      <w:hyperlink r:id="rId72" w:history="1">
        <w:r w:rsidRPr="00D6034E">
          <w:rPr>
            <w:rStyle w:val="Hyperlink"/>
            <w:rFonts w:ascii="Verdana" w:hAnsi="Verdana"/>
            <w:i/>
            <w:sz w:val="18"/>
            <w:szCs w:val="18"/>
          </w:rPr>
          <w:t>Πρόγραμμα Ψυχαργώς</w:t>
        </w:r>
      </w:hyperlink>
      <w:r w:rsidRPr="00D6034E">
        <w:rPr>
          <w:rFonts w:ascii="Verdana" w:hAnsi="Verdana"/>
          <w:sz w:val="18"/>
          <w:szCs w:val="18"/>
        </w:rPr>
        <w:t xml:space="preserve">). </w:t>
      </w:r>
    </w:p>
    <w:p w14:paraId="08690FE7" w14:textId="77777777" w:rsidR="00E278E4" w:rsidRPr="00D6034E" w:rsidRDefault="00E278E4" w:rsidP="002C3ACE">
      <w:pPr>
        <w:pStyle w:val="EndnoteText"/>
        <w:rPr>
          <w:rFonts w:ascii="Verdana" w:hAnsi="Verdana"/>
          <w:sz w:val="18"/>
          <w:szCs w:val="18"/>
        </w:rPr>
      </w:pPr>
    </w:p>
  </w:endnote>
  <w:endnote w:id="75">
    <w:p w14:paraId="4A680F9C" w14:textId="4D78BC13"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This background paper is available on FRA’s webpage on '</w:t>
      </w:r>
      <w:hyperlink r:id="rId73" w:history="1">
        <w:r w:rsidRPr="00D6034E">
          <w:rPr>
            <w:rStyle w:val="Hyperlink"/>
            <w:rFonts w:ascii="Verdana" w:hAnsi="Verdana"/>
            <w:sz w:val="18"/>
            <w:szCs w:val="18"/>
          </w:rPr>
          <w:t>Rights of persons with disabilities (The right to independent living)</w:t>
        </w:r>
      </w:hyperlink>
      <w:r w:rsidRPr="00D6034E">
        <w:rPr>
          <w:rStyle w:val="Hyperlink"/>
          <w:rFonts w:ascii="Verdana" w:hAnsi="Verdana"/>
          <w:sz w:val="18"/>
          <w:szCs w:val="18"/>
        </w:rPr>
        <w:t>’</w:t>
      </w:r>
      <w:r w:rsidRPr="00D6034E">
        <w:rPr>
          <w:rFonts w:ascii="Verdana" w:hAnsi="Verdana"/>
          <w:sz w:val="18"/>
          <w:szCs w:val="18"/>
        </w:rPr>
        <w:t xml:space="preserve">. </w:t>
      </w:r>
    </w:p>
    <w:p w14:paraId="19A030A7" w14:textId="77777777" w:rsidR="00E278E4" w:rsidRPr="00D6034E" w:rsidRDefault="00E278E4" w:rsidP="002C3ACE">
      <w:pPr>
        <w:pStyle w:val="EndnoteText"/>
        <w:rPr>
          <w:rFonts w:ascii="Verdana" w:hAnsi="Verdana"/>
          <w:sz w:val="18"/>
          <w:szCs w:val="18"/>
        </w:rPr>
      </w:pPr>
    </w:p>
  </w:endnote>
  <w:endnote w:id="76">
    <w:p w14:paraId="03CAD357" w14:textId="74402804" w:rsidR="00E278E4" w:rsidRPr="00D6034E" w:rsidRDefault="00E278E4" w:rsidP="002C3ACE">
      <w:pPr>
        <w:pStyle w:val="EndnoteText"/>
        <w:rPr>
          <w:rFonts w:ascii="Verdana" w:hAnsi="Verdana"/>
          <w:noProof/>
          <w:sz w:val="18"/>
          <w:szCs w:val="18"/>
        </w:rPr>
      </w:pPr>
      <w:r w:rsidRPr="00D6034E">
        <w:rPr>
          <w:rStyle w:val="EndnoteReference"/>
          <w:rFonts w:ascii="Verdana" w:hAnsi="Verdana"/>
          <w:sz w:val="18"/>
          <w:szCs w:val="18"/>
        </w:rPr>
        <w:endnoteRef/>
      </w:r>
      <w:r w:rsidRPr="00D6034E">
        <w:rPr>
          <w:rFonts w:ascii="Verdana" w:hAnsi="Verdana"/>
          <w:sz w:val="18"/>
          <w:szCs w:val="18"/>
        </w:rPr>
        <w:t xml:space="preserve"> European Social Network (2015), </w:t>
      </w:r>
      <w:hyperlink r:id="rId74" w:history="1">
        <w:r w:rsidRPr="00D6034E">
          <w:rPr>
            <w:rStyle w:val="Hyperlink"/>
            <w:rFonts w:ascii="Verdana" w:hAnsi="Verdana"/>
            <w:i/>
            <w:sz w:val="18"/>
            <w:szCs w:val="18"/>
          </w:rPr>
          <w:t>Social planning at the local level</w:t>
        </w:r>
      </w:hyperlink>
      <w:r w:rsidRPr="00D6034E">
        <w:rPr>
          <w:rFonts w:ascii="Verdana" w:hAnsi="Verdana"/>
          <w:sz w:val="18"/>
          <w:szCs w:val="18"/>
        </w:rPr>
        <w:t>, Brighton</w:t>
      </w:r>
      <w:r w:rsidRPr="00D6034E">
        <w:rPr>
          <w:rFonts w:ascii="Verdana" w:hAnsi="Verdana"/>
          <w:noProof/>
          <w:sz w:val="18"/>
          <w:szCs w:val="18"/>
        </w:rPr>
        <w:t>; Nullmeier, F. (2011), ‘</w:t>
      </w:r>
      <w:r w:rsidRPr="00D6034E">
        <w:rPr>
          <w:rFonts w:ascii="Verdana" w:hAnsi="Verdana"/>
          <w:i/>
          <w:noProof/>
          <w:sz w:val="18"/>
          <w:szCs w:val="18"/>
        </w:rPr>
        <w:t>Governance sozialer Dienste</w:t>
      </w:r>
      <w:r w:rsidRPr="00D6034E">
        <w:rPr>
          <w:rFonts w:ascii="Verdana" w:hAnsi="Verdana"/>
          <w:noProof/>
          <w:sz w:val="18"/>
          <w:szCs w:val="18"/>
        </w:rPr>
        <w:t xml:space="preserve">’ in: Evers, A., </w:t>
      </w:r>
      <w:r w:rsidRPr="00D6034E">
        <w:rPr>
          <w:rFonts w:ascii="Verdana" w:hAnsi="Verdana"/>
          <w:bCs/>
          <w:noProof/>
          <w:sz w:val="18"/>
          <w:szCs w:val="18"/>
        </w:rPr>
        <w:t>Heinze</w:t>
      </w:r>
      <w:r w:rsidRPr="00D6034E">
        <w:rPr>
          <w:rFonts w:ascii="Verdana" w:hAnsi="Verdana"/>
          <w:noProof/>
          <w:sz w:val="18"/>
          <w:szCs w:val="18"/>
        </w:rPr>
        <w:t>, R. G. and G., </w:t>
      </w:r>
      <w:r w:rsidRPr="00D6034E">
        <w:rPr>
          <w:rFonts w:ascii="Verdana" w:hAnsi="Verdana"/>
          <w:bCs/>
          <w:noProof/>
          <w:sz w:val="18"/>
          <w:szCs w:val="18"/>
        </w:rPr>
        <w:t>Olk</w:t>
      </w:r>
      <w:r w:rsidRPr="00D6034E">
        <w:rPr>
          <w:rFonts w:ascii="Verdana" w:hAnsi="Verdana"/>
          <w:noProof/>
          <w:sz w:val="18"/>
          <w:szCs w:val="18"/>
        </w:rPr>
        <w:t xml:space="preserve">, T. (eds.), </w:t>
      </w:r>
      <w:r w:rsidRPr="00D6034E">
        <w:rPr>
          <w:rFonts w:ascii="Verdana" w:hAnsi="Verdana"/>
          <w:i/>
          <w:noProof/>
          <w:sz w:val="18"/>
          <w:szCs w:val="18"/>
        </w:rPr>
        <w:t>Handbuch Soziale Dienste</w:t>
      </w:r>
      <w:r w:rsidRPr="00D6034E">
        <w:rPr>
          <w:rFonts w:ascii="Verdana" w:hAnsi="Verdana"/>
          <w:noProof/>
          <w:sz w:val="18"/>
          <w:szCs w:val="18"/>
        </w:rPr>
        <w:t>, Wiesbaden, Springer VS, pp. 284-298.</w:t>
      </w:r>
    </w:p>
    <w:p w14:paraId="5C4C0E2C" w14:textId="77777777" w:rsidR="00E278E4" w:rsidRPr="00D6034E" w:rsidRDefault="00E278E4" w:rsidP="002C3ACE">
      <w:pPr>
        <w:pStyle w:val="EndnoteText"/>
        <w:rPr>
          <w:rFonts w:ascii="Verdana" w:hAnsi="Verdana"/>
          <w:sz w:val="18"/>
          <w:szCs w:val="18"/>
        </w:rPr>
      </w:pPr>
    </w:p>
  </w:endnote>
  <w:endnote w:id="77">
    <w:p w14:paraId="01A5737D" w14:textId="6CC89D66"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For children, the State Agency for Child Protection (</w:t>
      </w:r>
      <w:r w:rsidRPr="00D6034E">
        <w:rPr>
          <w:rFonts w:ascii="Verdana" w:hAnsi="Verdana"/>
          <w:i/>
          <w:sz w:val="18"/>
          <w:szCs w:val="18"/>
        </w:rPr>
        <w:t>Държавна агенция за закрила на детето</w:t>
      </w:r>
      <w:r w:rsidRPr="00D6034E">
        <w:rPr>
          <w:rFonts w:ascii="Verdana" w:hAnsi="Verdana"/>
          <w:sz w:val="18"/>
          <w:szCs w:val="18"/>
        </w:rPr>
        <w:t>) assumes responsibility.</w:t>
      </w:r>
    </w:p>
    <w:p w14:paraId="2CFDB4DC" w14:textId="77777777" w:rsidR="00E278E4" w:rsidRPr="00D6034E" w:rsidRDefault="00E278E4" w:rsidP="002C3ACE">
      <w:pPr>
        <w:pStyle w:val="EndnoteText"/>
        <w:rPr>
          <w:rFonts w:ascii="Verdana" w:hAnsi="Verdana"/>
          <w:sz w:val="18"/>
          <w:szCs w:val="18"/>
        </w:rPr>
      </w:pPr>
    </w:p>
  </w:endnote>
  <w:endnote w:id="78">
    <w:p w14:paraId="3FCA1B0A" w14:textId="1C103504" w:rsidR="00E278E4" w:rsidRPr="00D6034E" w:rsidRDefault="00E278E4" w:rsidP="002C3ACE">
      <w:pPr>
        <w:pStyle w:val="FRAFootnoteText"/>
        <w:rPr>
          <w:rFonts w:ascii="Verdana" w:hAnsi="Verdana"/>
          <w:noProof/>
          <w:szCs w:val="18"/>
          <w:lang w:val="bg-BG"/>
        </w:rPr>
      </w:pPr>
      <w:r w:rsidRPr="00D6034E">
        <w:rPr>
          <w:rStyle w:val="EndnoteReference"/>
          <w:rFonts w:ascii="Verdana" w:hAnsi="Verdana"/>
          <w:noProof/>
          <w:szCs w:val="18"/>
        </w:rPr>
        <w:endnoteRef/>
      </w:r>
      <w:r w:rsidRPr="00D6034E">
        <w:rPr>
          <w:rFonts w:ascii="Verdana" w:hAnsi="Verdana"/>
          <w:noProof/>
          <w:szCs w:val="18"/>
          <w:lang w:val="bg-BG"/>
        </w:rPr>
        <w:t xml:space="preserve"> </w:t>
      </w:r>
      <w:r w:rsidRPr="00D6034E">
        <w:rPr>
          <w:rFonts w:ascii="Verdana" w:hAnsi="Verdana"/>
          <w:noProof/>
          <w:szCs w:val="18"/>
        </w:rPr>
        <w:t>Bulgaria</w:t>
      </w:r>
      <w:r w:rsidRPr="00D6034E">
        <w:rPr>
          <w:rFonts w:ascii="Verdana" w:hAnsi="Verdana"/>
          <w:noProof/>
          <w:szCs w:val="18"/>
          <w:lang w:val="bg-BG"/>
        </w:rPr>
        <w:t xml:space="preserve">, </w:t>
      </w:r>
      <w:r w:rsidRPr="00D6034E">
        <w:rPr>
          <w:rFonts w:ascii="Verdana" w:hAnsi="Verdana"/>
          <w:noProof/>
          <w:szCs w:val="18"/>
        </w:rPr>
        <w:t>Ministry</w:t>
      </w:r>
      <w:r w:rsidRPr="00D6034E">
        <w:rPr>
          <w:rFonts w:ascii="Verdana" w:hAnsi="Verdana"/>
          <w:noProof/>
          <w:szCs w:val="18"/>
          <w:lang w:val="bg-BG"/>
        </w:rPr>
        <w:t xml:space="preserve"> </w:t>
      </w:r>
      <w:r w:rsidRPr="00D6034E">
        <w:rPr>
          <w:rFonts w:ascii="Verdana" w:hAnsi="Verdana"/>
          <w:noProof/>
          <w:szCs w:val="18"/>
        </w:rPr>
        <w:t>of</w:t>
      </w:r>
      <w:r w:rsidRPr="00D6034E">
        <w:rPr>
          <w:rFonts w:ascii="Verdana" w:hAnsi="Verdana"/>
          <w:noProof/>
          <w:szCs w:val="18"/>
          <w:lang w:val="bg-BG"/>
        </w:rPr>
        <w:t xml:space="preserve"> </w:t>
      </w:r>
      <w:r w:rsidRPr="00D6034E">
        <w:rPr>
          <w:rFonts w:ascii="Verdana" w:hAnsi="Verdana"/>
          <w:noProof/>
          <w:szCs w:val="18"/>
        </w:rPr>
        <w:t>Labour</w:t>
      </w:r>
      <w:r w:rsidRPr="00D6034E">
        <w:rPr>
          <w:rFonts w:ascii="Verdana" w:hAnsi="Verdana"/>
          <w:noProof/>
          <w:szCs w:val="18"/>
          <w:lang w:val="bg-BG"/>
        </w:rPr>
        <w:t xml:space="preserve"> </w:t>
      </w:r>
      <w:r w:rsidRPr="00D6034E">
        <w:rPr>
          <w:rFonts w:ascii="Verdana" w:hAnsi="Verdana"/>
          <w:noProof/>
          <w:szCs w:val="18"/>
        </w:rPr>
        <w:t>and</w:t>
      </w:r>
      <w:r w:rsidRPr="00D6034E">
        <w:rPr>
          <w:rFonts w:ascii="Verdana" w:hAnsi="Verdana"/>
          <w:noProof/>
          <w:szCs w:val="18"/>
          <w:lang w:val="bg-BG"/>
        </w:rPr>
        <w:t xml:space="preserve"> </w:t>
      </w:r>
      <w:r w:rsidRPr="00D6034E">
        <w:rPr>
          <w:rFonts w:ascii="Verdana" w:hAnsi="Verdana"/>
          <w:noProof/>
          <w:szCs w:val="18"/>
        </w:rPr>
        <w:t>Social</w:t>
      </w:r>
      <w:r w:rsidRPr="00D6034E">
        <w:rPr>
          <w:rFonts w:ascii="Verdana" w:hAnsi="Verdana"/>
          <w:noProof/>
          <w:szCs w:val="18"/>
          <w:lang w:val="bg-BG"/>
        </w:rPr>
        <w:t xml:space="preserve"> </w:t>
      </w:r>
      <w:r w:rsidRPr="00D6034E">
        <w:rPr>
          <w:rFonts w:ascii="Verdana" w:hAnsi="Verdana"/>
          <w:noProof/>
          <w:szCs w:val="18"/>
        </w:rPr>
        <w:t>Policy</w:t>
      </w:r>
      <w:r w:rsidRPr="00D6034E">
        <w:rPr>
          <w:rFonts w:ascii="Verdana" w:hAnsi="Verdana"/>
          <w:noProof/>
          <w:szCs w:val="18"/>
          <w:lang w:val="bg-BG"/>
        </w:rPr>
        <w:t xml:space="preserve"> (</w:t>
      </w:r>
      <w:r w:rsidRPr="00D6034E">
        <w:rPr>
          <w:rFonts w:ascii="Verdana" w:hAnsi="Verdana"/>
          <w:i/>
          <w:noProof/>
          <w:szCs w:val="18"/>
          <w:lang w:val="bg-BG"/>
        </w:rPr>
        <w:t>Министерство на труда и социалната политика</w:t>
      </w:r>
      <w:r w:rsidRPr="00D6034E">
        <w:rPr>
          <w:rFonts w:ascii="Verdana" w:hAnsi="Verdana"/>
          <w:noProof/>
          <w:szCs w:val="18"/>
          <w:lang w:val="bg-BG"/>
        </w:rPr>
        <w:t xml:space="preserve">) (2014), </w:t>
      </w:r>
      <w:r w:rsidRPr="00D6034E">
        <w:rPr>
          <w:rFonts w:ascii="Verdana" w:hAnsi="Verdana"/>
          <w:noProof/>
          <w:szCs w:val="18"/>
        </w:rPr>
        <w:t>Annual</w:t>
      </w:r>
      <w:r w:rsidRPr="00D6034E">
        <w:rPr>
          <w:rFonts w:ascii="Verdana" w:hAnsi="Verdana"/>
          <w:noProof/>
          <w:szCs w:val="18"/>
          <w:lang w:val="bg-BG"/>
        </w:rPr>
        <w:t xml:space="preserve"> </w:t>
      </w:r>
      <w:r w:rsidRPr="00D6034E">
        <w:rPr>
          <w:rFonts w:ascii="Verdana" w:hAnsi="Verdana"/>
          <w:noProof/>
          <w:szCs w:val="18"/>
        </w:rPr>
        <w:t>report</w:t>
      </w:r>
      <w:r w:rsidRPr="00D6034E">
        <w:rPr>
          <w:rFonts w:ascii="Verdana" w:hAnsi="Verdana"/>
          <w:noProof/>
          <w:szCs w:val="18"/>
          <w:lang w:val="bg-BG"/>
        </w:rPr>
        <w:t xml:space="preserve"> </w:t>
      </w:r>
      <w:r w:rsidRPr="00D6034E">
        <w:rPr>
          <w:rFonts w:ascii="Verdana" w:hAnsi="Verdana"/>
          <w:noProof/>
          <w:szCs w:val="18"/>
        </w:rPr>
        <w:t>on</w:t>
      </w:r>
      <w:r w:rsidRPr="00D6034E">
        <w:rPr>
          <w:rFonts w:ascii="Verdana" w:hAnsi="Verdana"/>
          <w:noProof/>
          <w:szCs w:val="18"/>
          <w:lang w:val="bg-BG"/>
        </w:rPr>
        <w:t xml:space="preserve"> </w:t>
      </w:r>
      <w:r w:rsidRPr="00D6034E">
        <w:rPr>
          <w:rFonts w:ascii="Verdana" w:hAnsi="Verdana"/>
          <w:noProof/>
          <w:szCs w:val="18"/>
        </w:rPr>
        <w:t>the</w:t>
      </w:r>
      <w:r w:rsidRPr="00D6034E">
        <w:rPr>
          <w:rFonts w:ascii="Verdana" w:hAnsi="Verdana"/>
          <w:noProof/>
          <w:szCs w:val="18"/>
          <w:lang w:val="bg-BG"/>
        </w:rPr>
        <w:t xml:space="preserve"> </w:t>
      </w:r>
      <w:r w:rsidRPr="00D6034E">
        <w:rPr>
          <w:rFonts w:ascii="Verdana" w:hAnsi="Verdana"/>
          <w:noProof/>
          <w:szCs w:val="18"/>
        </w:rPr>
        <w:t>implementation</w:t>
      </w:r>
      <w:r w:rsidRPr="00D6034E">
        <w:rPr>
          <w:rFonts w:ascii="Verdana" w:hAnsi="Verdana"/>
          <w:noProof/>
          <w:szCs w:val="18"/>
          <w:lang w:val="bg-BG"/>
        </w:rPr>
        <w:t xml:space="preserve"> </w:t>
      </w:r>
      <w:r w:rsidRPr="00D6034E">
        <w:rPr>
          <w:rFonts w:ascii="Verdana" w:hAnsi="Verdana"/>
          <w:noProof/>
          <w:szCs w:val="18"/>
        </w:rPr>
        <w:t>of</w:t>
      </w:r>
      <w:r w:rsidRPr="00D6034E">
        <w:rPr>
          <w:rFonts w:ascii="Verdana" w:hAnsi="Verdana"/>
          <w:noProof/>
          <w:szCs w:val="18"/>
          <w:lang w:val="bg-BG"/>
        </w:rPr>
        <w:t xml:space="preserve"> </w:t>
      </w:r>
      <w:r w:rsidRPr="00D6034E">
        <w:rPr>
          <w:rFonts w:ascii="Verdana" w:hAnsi="Verdana"/>
          <w:noProof/>
          <w:szCs w:val="18"/>
        </w:rPr>
        <w:t>the</w:t>
      </w:r>
      <w:r w:rsidRPr="00D6034E">
        <w:rPr>
          <w:rFonts w:ascii="Verdana" w:hAnsi="Verdana"/>
          <w:noProof/>
          <w:szCs w:val="18"/>
          <w:lang w:val="bg-BG"/>
        </w:rPr>
        <w:t xml:space="preserve"> </w:t>
      </w:r>
      <w:r w:rsidRPr="00D6034E">
        <w:rPr>
          <w:rFonts w:ascii="Verdana" w:hAnsi="Verdana"/>
          <w:noProof/>
          <w:szCs w:val="18"/>
        </w:rPr>
        <w:t>Action</w:t>
      </w:r>
      <w:r w:rsidRPr="00D6034E">
        <w:rPr>
          <w:rFonts w:ascii="Verdana" w:hAnsi="Verdana"/>
          <w:noProof/>
          <w:szCs w:val="18"/>
          <w:lang w:val="bg-BG"/>
        </w:rPr>
        <w:t xml:space="preserve"> </w:t>
      </w:r>
      <w:r w:rsidRPr="00D6034E">
        <w:rPr>
          <w:rFonts w:ascii="Verdana" w:hAnsi="Verdana"/>
          <w:noProof/>
          <w:szCs w:val="18"/>
        </w:rPr>
        <w:t>Plan</w:t>
      </w:r>
      <w:r w:rsidRPr="00D6034E">
        <w:rPr>
          <w:rFonts w:ascii="Verdana" w:hAnsi="Verdana"/>
          <w:noProof/>
          <w:szCs w:val="18"/>
          <w:lang w:val="bg-BG"/>
        </w:rPr>
        <w:t xml:space="preserve"> </w:t>
      </w:r>
      <w:r w:rsidRPr="00D6034E">
        <w:rPr>
          <w:rFonts w:ascii="Verdana" w:hAnsi="Verdana"/>
          <w:noProof/>
          <w:szCs w:val="18"/>
        </w:rPr>
        <w:t>for</w:t>
      </w:r>
      <w:r w:rsidRPr="00D6034E">
        <w:rPr>
          <w:rFonts w:ascii="Verdana" w:hAnsi="Verdana"/>
          <w:noProof/>
          <w:szCs w:val="18"/>
          <w:lang w:val="bg-BG"/>
        </w:rPr>
        <w:t xml:space="preserve"> </w:t>
      </w:r>
      <w:r w:rsidRPr="00D6034E">
        <w:rPr>
          <w:rFonts w:ascii="Verdana" w:hAnsi="Verdana"/>
          <w:noProof/>
          <w:szCs w:val="18"/>
        </w:rPr>
        <w:t>the</w:t>
      </w:r>
      <w:r w:rsidRPr="00D6034E">
        <w:rPr>
          <w:rFonts w:ascii="Verdana" w:hAnsi="Verdana"/>
          <w:noProof/>
          <w:szCs w:val="18"/>
          <w:lang w:val="bg-BG"/>
        </w:rPr>
        <w:t xml:space="preserve"> </w:t>
      </w:r>
      <w:r w:rsidRPr="00D6034E">
        <w:rPr>
          <w:rFonts w:ascii="Verdana" w:hAnsi="Verdana"/>
          <w:noProof/>
          <w:szCs w:val="18"/>
        </w:rPr>
        <w:t>Porivison</w:t>
      </w:r>
      <w:r w:rsidRPr="00D6034E">
        <w:rPr>
          <w:rFonts w:ascii="Verdana" w:hAnsi="Verdana"/>
          <w:noProof/>
          <w:szCs w:val="18"/>
          <w:lang w:val="bg-BG"/>
        </w:rPr>
        <w:t xml:space="preserve"> </w:t>
      </w:r>
      <w:r w:rsidRPr="00D6034E">
        <w:rPr>
          <w:rFonts w:ascii="Verdana" w:hAnsi="Verdana"/>
          <w:noProof/>
          <w:szCs w:val="18"/>
        </w:rPr>
        <w:t>of</w:t>
      </w:r>
      <w:r w:rsidRPr="00D6034E">
        <w:rPr>
          <w:rFonts w:ascii="Verdana" w:hAnsi="Verdana"/>
          <w:noProof/>
          <w:szCs w:val="18"/>
          <w:lang w:val="bg-BG"/>
        </w:rPr>
        <w:t xml:space="preserve"> </w:t>
      </w:r>
      <w:r w:rsidRPr="00D6034E">
        <w:rPr>
          <w:rFonts w:ascii="Verdana" w:hAnsi="Verdana"/>
          <w:noProof/>
          <w:szCs w:val="18"/>
        </w:rPr>
        <w:t>Equal</w:t>
      </w:r>
      <w:r w:rsidRPr="00D6034E">
        <w:rPr>
          <w:rFonts w:ascii="Verdana" w:hAnsi="Verdana"/>
          <w:noProof/>
          <w:szCs w:val="18"/>
          <w:lang w:val="bg-BG"/>
        </w:rPr>
        <w:t xml:space="preserve"> </w:t>
      </w:r>
      <w:r w:rsidRPr="00D6034E">
        <w:rPr>
          <w:rFonts w:ascii="Verdana" w:hAnsi="Verdana"/>
          <w:noProof/>
          <w:szCs w:val="18"/>
        </w:rPr>
        <w:t>Opportunities</w:t>
      </w:r>
      <w:r w:rsidRPr="00D6034E">
        <w:rPr>
          <w:rFonts w:ascii="Verdana" w:hAnsi="Verdana"/>
          <w:noProof/>
          <w:szCs w:val="18"/>
          <w:lang w:val="bg-BG"/>
        </w:rPr>
        <w:t xml:space="preserve"> </w:t>
      </w:r>
      <w:r w:rsidRPr="00D6034E">
        <w:rPr>
          <w:rFonts w:ascii="Verdana" w:hAnsi="Verdana"/>
          <w:noProof/>
          <w:szCs w:val="18"/>
        </w:rPr>
        <w:t>for</w:t>
      </w:r>
      <w:r w:rsidRPr="00D6034E">
        <w:rPr>
          <w:rFonts w:ascii="Verdana" w:hAnsi="Verdana"/>
          <w:noProof/>
          <w:szCs w:val="18"/>
          <w:lang w:val="bg-BG"/>
        </w:rPr>
        <w:t xml:space="preserve"> </w:t>
      </w:r>
      <w:r w:rsidRPr="00D6034E">
        <w:rPr>
          <w:rFonts w:ascii="Verdana" w:hAnsi="Verdana"/>
          <w:noProof/>
          <w:szCs w:val="18"/>
        </w:rPr>
        <w:t>People</w:t>
      </w:r>
      <w:r w:rsidRPr="00D6034E">
        <w:rPr>
          <w:rFonts w:ascii="Verdana" w:hAnsi="Verdana"/>
          <w:noProof/>
          <w:szCs w:val="18"/>
          <w:lang w:val="bg-BG"/>
        </w:rPr>
        <w:t xml:space="preserve"> </w:t>
      </w:r>
      <w:r w:rsidRPr="00D6034E">
        <w:rPr>
          <w:rFonts w:ascii="Verdana" w:hAnsi="Verdana"/>
          <w:noProof/>
          <w:szCs w:val="18"/>
        </w:rPr>
        <w:t>with</w:t>
      </w:r>
      <w:r w:rsidRPr="00D6034E">
        <w:rPr>
          <w:rFonts w:ascii="Verdana" w:hAnsi="Verdana"/>
          <w:noProof/>
          <w:szCs w:val="18"/>
          <w:lang w:val="bg-BG"/>
        </w:rPr>
        <w:t xml:space="preserve"> </w:t>
      </w:r>
      <w:r w:rsidRPr="00D6034E">
        <w:rPr>
          <w:rFonts w:ascii="Verdana" w:hAnsi="Verdana"/>
          <w:noProof/>
          <w:szCs w:val="18"/>
        </w:rPr>
        <w:t>Disabilities</w:t>
      </w:r>
      <w:r w:rsidRPr="00D6034E">
        <w:rPr>
          <w:rFonts w:ascii="Verdana" w:hAnsi="Verdana"/>
          <w:noProof/>
          <w:szCs w:val="18"/>
          <w:lang w:val="bg-BG"/>
        </w:rPr>
        <w:t xml:space="preserve"> 2014-2015 (</w:t>
      </w:r>
      <w:hyperlink r:id="rId75" w:history="1">
        <w:r w:rsidRPr="00D6034E">
          <w:rPr>
            <w:rStyle w:val="Hyperlink"/>
            <w:rFonts w:ascii="Verdana" w:hAnsi="Verdana"/>
            <w:i/>
            <w:szCs w:val="18"/>
          </w:rPr>
          <w:t>Годишен доклад за 2014 г. за изпълнението на Плана за действие за осигуряване на равни възможности за хората с увреждания 2014 – 2015 г.</w:t>
        </w:r>
      </w:hyperlink>
      <w:r w:rsidRPr="00D6034E">
        <w:rPr>
          <w:rFonts w:ascii="Verdana" w:hAnsi="Verdana"/>
          <w:noProof/>
          <w:szCs w:val="18"/>
          <w:lang w:val="bg-BG"/>
        </w:rPr>
        <w:t>)</w:t>
      </w:r>
      <w:r w:rsidRPr="00D6034E">
        <w:rPr>
          <w:rFonts w:ascii="Verdana" w:hAnsi="Verdana"/>
          <w:noProof/>
          <w:szCs w:val="18"/>
        </w:rPr>
        <w:t>.</w:t>
      </w:r>
      <w:r w:rsidRPr="00D6034E">
        <w:rPr>
          <w:rFonts w:ascii="Verdana" w:hAnsi="Verdana"/>
          <w:noProof/>
          <w:szCs w:val="18"/>
          <w:lang w:val="bg-BG"/>
        </w:rPr>
        <w:t xml:space="preserve"> </w:t>
      </w:r>
    </w:p>
    <w:p w14:paraId="34CE8CCE" w14:textId="77777777" w:rsidR="00E278E4" w:rsidRPr="00D6034E" w:rsidRDefault="00E278E4" w:rsidP="002C3ACE">
      <w:pPr>
        <w:pStyle w:val="FRAFootnoteText"/>
        <w:rPr>
          <w:rFonts w:ascii="Verdana" w:hAnsi="Verdana"/>
          <w:szCs w:val="18"/>
          <w:lang w:val="bg-BG"/>
        </w:rPr>
      </w:pPr>
    </w:p>
  </w:endnote>
  <w:endnote w:id="79">
    <w:p w14:paraId="48A5BADD" w14:textId="72FC9712" w:rsidR="00E278E4" w:rsidRPr="00D6034E" w:rsidRDefault="00E278E4" w:rsidP="002C3ACE">
      <w:pPr>
        <w:pStyle w:val="EndnoteText"/>
        <w:rPr>
          <w:rFonts w:ascii="Verdana" w:hAnsi="Verdana"/>
          <w:sz w:val="18"/>
          <w:szCs w:val="18"/>
          <w:lang w:val="de-AT"/>
        </w:rPr>
      </w:pPr>
      <w:r w:rsidRPr="00D6034E">
        <w:rPr>
          <w:rStyle w:val="EndnoteReference"/>
          <w:rFonts w:ascii="Verdana" w:hAnsi="Verdana"/>
          <w:sz w:val="18"/>
          <w:szCs w:val="18"/>
        </w:rPr>
        <w:endnoteRef/>
      </w:r>
      <w:r w:rsidRPr="00D6034E">
        <w:rPr>
          <w:rFonts w:ascii="Verdana" w:hAnsi="Verdana"/>
          <w:sz w:val="18"/>
          <w:szCs w:val="18"/>
          <w:lang w:val="de-AT"/>
        </w:rPr>
        <w:t xml:space="preserve"> Germany, </w:t>
      </w:r>
      <w:r w:rsidRPr="00D6034E">
        <w:rPr>
          <w:rFonts w:ascii="Verdana" w:hAnsi="Verdana"/>
          <w:sz w:val="18"/>
          <w:szCs w:val="18"/>
          <w:lang w:val="de-DE"/>
        </w:rPr>
        <w:t xml:space="preserve">con_sens </w:t>
      </w:r>
      <w:r w:rsidRPr="00D6034E">
        <w:rPr>
          <w:rFonts w:ascii="Verdana" w:hAnsi="Verdana"/>
          <w:sz w:val="18"/>
          <w:szCs w:val="18"/>
          <w:lang w:val="de-AT"/>
        </w:rPr>
        <w:t xml:space="preserve">on behalf of </w:t>
      </w:r>
      <w:r w:rsidRPr="00D6034E">
        <w:rPr>
          <w:rFonts w:ascii="Verdana" w:hAnsi="Verdana"/>
          <w:sz w:val="18"/>
          <w:szCs w:val="18"/>
          <w:lang w:val="de-DE"/>
        </w:rPr>
        <w:t>Bundesarbeitsgemeinschaft der überörtlichen Sozialhilfeträger – BAGüS (2015), (</w:t>
      </w:r>
      <w:hyperlink r:id="rId76" w:history="1">
        <w:r w:rsidRPr="00D6034E">
          <w:rPr>
            <w:rStyle w:val="Hyperlink"/>
            <w:rFonts w:ascii="Verdana" w:hAnsi="Verdana"/>
            <w:i/>
            <w:sz w:val="18"/>
            <w:szCs w:val="18"/>
            <w:lang w:val="de-AT"/>
          </w:rPr>
          <w:t>Kennzahlenvergleich Eingliederungshilfe der überortlichen Träger der Sozialhilfe 2013</w:t>
        </w:r>
      </w:hyperlink>
      <w:r w:rsidRPr="00D6034E">
        <w:rPr>
          <w:rFonts w:ascii="Verdana" w:hAnsi="Verdana"/>
          <w:sz w:val="18"/>
          <w:szCs w:val="18"/>
          <w:lang w:val="de-DE"/>
        </w:rPr>
        <w:t>), p. 7</w:t>
      </w:r>
      <w:r w:rsidRPr="00D6034E">
        <w:rPr>
          <w:rFonts w:ascii="Verdana" w:hAnsi="Verdana"/>
          <w:sz w:val="18"/>
          <w:szCs w:val="18"/>
          <w:lang w:val="de-AT"/>
        </w:rPr>
        <w:t>.</w:t>
      </w:r>
    </w:p>
    <w:p w14:paraId="75230A86" w14:textId="77777777" w:rsidR="00E278E4" w:rsidRPr="00D6034E" w:rsidRDefault="00E278E4" w:rsidP="002C3ACE">
      <w:pPr>
        <w:pStyle w:val="EndnoteText"/>
        <w:rPr>
          <w:rFonts w:ascii="Verdana" w:hAnsi="Verdana"/>
          <w:sz w:val="18"/>
          <w:szCs w:val="18"/>
          <w:lang w:val="de-AT"/>
        </w:rPr>
      </w:pPr>
    </w:p>
  </w:endnote>
  <w:endnote w:id="80">
    <w:p w14:paraId="6CF42F76" w14:textId="796A1135" w:rsidR="00E278E4" w:rsidRPr="00D6034E" w:rsidRDefault="00E278E4" w:rsidP="002C3ACE">
      <w:pPr>
        <w:pStyle w:val="EndnoteText"/>
        <w:rPr>
          <w:rFonts w:ascii="Verdana" w:hAnsi="Verdana"/>
          <w:sz w:val="18"/>
          <w:szCs w:val="18"/>
          <w:lang w:val="en-US"/>
        </w:rPr>
      </w:pPr>
      <w:r w:rsidRPr="00D6034E">
        <w:rPr>
          <w:rStyle w:val="EndnoteReference"/>
          <w:rFonts w:ascii="Verdana" w:hAnsi="Verdana"/>
          <w:sz w:val="18"/>
          <w:szCs w:val="18"/>
        </w:rPr>
        <w:endnoteRef/>
      </w:r>
      <w:r w:rsidRPr="00D6034E">
        <w:rPr>
          <w:rFonts w:ascii="Verdana" w:hAnsi="Verdana"/>
          <w:sz w:val="18"/>
          <w:szCs w:val="18"/>
        </w:rPr>
        <w:t xml:space="preserve"> </w:t>
      </w:r>
      <w:r w:rsidRPr="00D6034E">
        <w:rPr>
          <w:rFonts w:ascii="Verdana" w:hAnsi="Verdana"/>
          <w:sz w:val="18"/>
          <w:szCs w:val="18"/>
          <w:lang w:val="en-US"/>
        </w:rPr>
        <w:t>The 1978 Constitution stipulates in Article 148.1.20 that Autonomous Communities may assume exclusive competence in social assistance.</w:t>
      </w:r>
    </w:p>
    <w:p w14:paraId="72D43128" w14:textId="77777777" w:rsidR="00E278E4" w:rsidRPr="00D6034E" w:rsidRDefault="00E278E4" w:rsidP="002C3ACE">
      <w:pPr>
        <w:pStyle w:val="EndnoteText"/>
        <w:rPr>
          <w:rFonts w:ascii="Verdana" w:hAnsi="Verdana"/>
          <w:sz w:val="18"/>
          <w:szCs w:val="18"/>
        </w:rPr>
      </w:pPr>
    </w:p>
  </w:endnote>
  <w:endnote w:id="81">
    <w:p w14:paraId="096EE4F3" w14:textId="5C57A2A6" w:rsidR="00E278E4" w:rsidRPr="00D6034E" w:rsidRDefault="00E278E4" w:rsidP="002C3ACE">
      <w:pPr>
        <w:pStyle w:val="EndnoteText"/>
        <w:rPr>
          <w:rFonts w:ascii="Verdana" w:hAnsi="Verdana"/>
          <w:sz w:val="18"/>
          <w:szCs w:val="18"/>
          <w:lang w:val="pt-PT"/>
        </w:rPr>
      </w:pPr>
      <w:r w:rsidRPr="00D6034E">
        <w:rPr>
          <w:rStyle w:val="EndnoteReference"/>
          <w:rFonts w:ascii="Verdana" w:hAnsi="Verdana"/>
          <w:sz w:val="18"/>
          <w:szCs w:val="18"/>
        </w:rPr>
        <w:endnoteRef/>
      </w:r>
      <w:r w:rsidRPr="00D6034E">
        <w:rPr>
          <w:rFonts w:ascii="Verdana" w:hAnsi="Verdana"/>
          <w:sz w:val="18"/>
          <w:szCs w:val="18"/>
          <w:lang w:val="pt-PT"/>
        </w:rPr>
        <w:t xml:space="preserve"> Portugal, Decree_Law 115/2006 which stablishes the aims and the rules for the Local Social Network (</w:t>
      </w:r>
      <w:hyperlink r:id="rId77" w:history="1">
        <w:r w:rsidRPr="00D6034E">
          <w:rPr>
            <w:rStyle w:val="Hyperlink"/>
            <w:rFonts w:ascii="Verdana" w:hAnsi="Verdana"/>
            <w:i/>
            <w:sz w:val="18"/>
            <w:szCs w:val="18"/>
            <w:lang w:val="pt-PT"/>
          </w:rPr>
          <w:t>Decreto-Lei nº 115/2006 que estabelece os objetivos e o funcionamento dos orgãos da Rede Social</w:t>
        </w:r>
      </w:hyperlink>
      <w:r w:rsidRPr="00D6034E">
        <w:rPr>
          <w:rFonts w:ascii="Verdana" w:hAnsi="Verdana"/>
          <w:i/>
          <w:sz w:val="18"/>
          <w:szCs w:val="18"/>
          <w:lang w:val="pt-PT"/>
        </w:rPr>
        <w:t>)</w:t>
      </w:r>
      <w:r w:rsidRPr="00D6034E">
        <w:rPr>
          <w:rFonts w:ascii="Verdana" w:hAnsi="Verdana"/>
          <w:sz w:val="18"/>
          <w:szCs w:val="18"/>
          <w:lang w:val="pt-PT"/>
        </w:rPr>
        <w:t>, 14 June 2006.</w:t>
      </w:r>
    </w:p>
    <w:p w14:paraId="516EB5C7" w14:textId="77777777" w:rsidR="00E278E4" w:rsidRPr="00D6034E" w:rsidRDefault="00E278E4" w:rsidP="002C3ACE">
      <w:pPr>
        <w:pStyle w:val="EndnoteText"/>
        <w:rPr>
          <w:rFonts w:ascii="Verdana" w:hAnsi="Verdana"/>
          <w:sz w:val="18"/>
          <w:szCs w:val="18"/>
          <w:lang w:val="pt-PT"/>
        </w:rPr>
      </w:pPr>
    </w:p>
  </w:endnote>
  <w:endnote w:id="82">
    <w:p w14:paraId="7E51E636" w14:textId="1F408303"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Slovakia, Act No. 448/2008 on Social Services, as amended (</w:t>
      </w:r>
      <w:r w:rsidRPr="00D6034E">
        <w:rPr>
          <w:rFonts w:ascii="Verdana" w:hAnsi="Verdana"/>
          <w:i/>
          <w:sz w:val="18"/>
          <w:szCs w:val="18"/>
        </w:rPr>
        <w:t>Zákon č. 448/2008 Z. z. o sociálnych službách v znení neskorších predpisov</w:t>
      </w:r>
      <w:r w:rsidRPr="00D6034E">
        <w:rPr>
          <w:rFonts w:ascii="Verdana" w:hAnsi="Verdana"/>
          <w:sz w:val="18"/>
          <w:szCs w:val="18"/>
        </w:rPr>
        <w:t>), Article 81, 1 January 2014.</w:t>
      </w:r>
    </w:p>
    <w:p w14:paraId="4EAB1EA4" w14:textId="77777777" w:rsidR="00E278E4" w:rsidRPr="00D6034E" w:rsidRDefault="00E278E4" w:rsidP="002C3ACE">
      <w:pPr>
        <w:pStyle w:val="EndnoteText"/>
        <w:rPr>
          <w:rFonts w:ascii="Verdana" w:hAnsi="Verdana"/>
          <w:sz w:val="18"/>
          <w:szCs w:val="18"/>
        </w:rPr>
      </w:pPr>
    </w:p>
  </w:endnote>
  <w:endnote w:id="83">
    <w:p w14:paraId="26F99EB4" w14:textId="15C3687A"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w:t>
      </w:r>
      <w:r w:rsidRPr="00605EE9">
        <w:rPr>
          <w:rFonts w:ascii="Verdana" w:hAnsi="Verdana"/>
          <w:i/>
          <w:sz w:val="18"/>
          <w:szCs w:val="18"/>
        </w:rPr>
        <w:t>Ibid.</w:t>
      </w:r>
    </w:p>
    <w:p w14:paraId="08EEDD44" w14:textId="77777777" w:rsidR="00E278E4" w:rsidRPr="00D6034E" w:rsidRDefault="00E278E4" w:rsidP="002C3ACE">
      <w:pPr>
        <w:pStyle w:val="EndnoteText"/>
        <w:rPr>
          <w:rFonts w:ascii="Verdana" w:hAnsi="Verdana"/>
          <w:sz w:val="18"/>
          <w:szCs w:val="18"/>
        </w:rPr>
      </w:pPr>
    </w:p>
  </w:endnote>
  <w:endnote w:id="84">
    <w:p w14:paraId="368FBDC6" w14:textId="048BBD35"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United Nations (UN), Committee on the Rights of Persons with Disabilities (2015), </w:t>
      </w:r>
      <w:hyperlink r:id="rId78" w:history="1">
        <w:r w:rsidRPr="00D6034E">
          <w:rPr>
            <w:rStyle w:val="Hyperlink"/>
            <w:rFonts w:ascii="Verdana" w:hAnsi="Verdana"/>
            <w:i/>
            <w:sz w:val="18"/>
            <w:szCs w:val="18"/>
          </w:rPr>
          <w:t>Concluding observations on the initial report of Austria</w:t>
        </w:r>
      </w:hyperlink>
      <w:r w:rsidRPr="00D6034E">
        <w:rPr>
          <w:rFonts w:ascii="Verdana" w:hAnsi="Verdana"/>
          <w:i/>
          <w:iCs/>
          <w:sz w:val="18"/>
          <w:szCs w:val="18"/>
        </w:rPr>
        <w:t xml:space="preserve">, </w:t>
      </w:r>
      <w:r w:rsidRPr="00D6034E">
        <w:rPr>
          <w:rFonts w:ascii="Verdana" w:hAnsi="Verdana"/>
          <w:sz w:val="18"/>
          <w:szCs w:val="18"/>
        </w:rPr>
        <w:t>CRPD/C/AUT/CO/1, 30 September 2013, para. 10.</w:t>
      </w:r>
    </w:p>
    <w:p w14:paraId="6CC7DCD0" w14:textId="77777777" w:rsidR="00E278E4" w:rsidRPr="00D6034E" w:rsidRDefault="00E278E4" w:rsidP="002C3ACE">
      <w:pPr>
        <w:pStyle w:val="EndnoteText"/>
        <w:rPr>
          <w:rFonts w:ascii="Verdana" w:hAnsi="Verdana"/>
          <w:sz w:val="18"/>
          <w:szCs w:val="18"/>
        </w:rPr>
      </w:pPr>
    </w:p>
  </w:endnote>
  <w:endnote w:id="85">
    <w:p w14:paraId="43702601" w14:textId="4A6F13A5"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CRPD Committee (2015), </w:t>
      </w:r>
      <w:hyperlink r:id="rId79" w:history="1">
        <w:r w:rsidRPr="00D6034E">
          <w:rPr>
            <w:rStyle w:val="Hyperlink"/>
            <w:rFonts w:ascii="Verdana" w:hAnsi="Verdana"/>
            <w:i/>
            <w:sz w:val="18"/>
            <w:szCs w:val="18"/>
          </w:rPr>
          <w:t>Concluding observations on the initial report of Germany</w:t>
        </w:r>
      </w:hyperlink>
      <w:r w:rsidRPr="00D6034E">
        <w:rPr>
          <w:rFonts w:ascii="Verdana" w:hAnsi="Verdana"/>
          <w:sz w:val="18"/>
          <w:szCs w:val="18"/>
        </w:rPr>
        <w:t>, CRPD/C/DEU/CO/1, 13 May 2015, para. 6.</w:t>
      </w:r>
    </w:p>
    <w:p w14:paraId="225172FD" w14:textId="77777777" w:rsidR="00E278E4" w:rsidRPr="00D6034E" w:rsidRDefault="00E278E4" w:rsidP="002C3ACE">
      <w:pPr>
        <w:pStyle w:val="EndnoteText"/>
        <w:rPr>
          <w:rFonts w:ascii="Verdana" w:hAnsi="Verdana"/>
          <w:sz w:val="18"/>
          <w:szCs w:val="18"/>
        </w:rPr>
      </w:pPr>
    </w:p>
  </w:endnote>
  <w:endnote w:id="86">
    <w:p w14:paraId="3A2696EC" w14:textId="29B529C8"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Slovakia, Act No. 448/2008 on Social Services, as amended (</w:t>
      </w:r>
      <w:r w:rsidRPr="00D6034E">
        <w:rPr>
          <w:rFonts w:ascii="Verdana" w:hAnsi="Verdana"/>
          <w:i/>
          <w:sz w:val="18"/>
          <w:szCs w:val="18"/>
        </w:rPr>
        <w:t>Zákon č. 448/2008 Z. z. o sociálnych službách v znení neskorších predpisov</w:t>
      </w:r>
      <w:r w:rsidRPr="00D6034E">
        <w:rPr>
          <w:rFonts w:ascii="Verdana" w:hAnsi="Verdana"/>
          <w:sz w:val="18"/>
          <w:szCs w:val="18"/>
        </w:rPr>
        <w:t>), Article 97/1, 1 January 2014.</w:t>
      </w:r>
    </w:p>
    <w:p w14:paraId="38E8859B" w14:textId="77777777" w:rsidR="00E278E4" w:rsidRPr="00D6034E" w:rsidRDefault="00E278E4" w:rsidP="002C3ACE">
      <w:pPr>
        <w:pStyle w:val="EndnoteText"/>
        <w:rPr>
          <w:rFonts w:ascii="Verdana" w:hAnsi="Verdana"/>
          <w:sz w:val="18"/>
          <w:szCs w:val="18"/>
        </w:rPr>
      </w:pPr>
    </w:p>
  </w:endnote>
  <w:endnote w:id="87">
    <w:p w14:paraId="35D22076" w14:textId="4B5A51E4"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w:t>
      </w:r>
      <w:r w:rsidRPr="00D6034E">
        <w:rPr>
          <w:rFonts w:ascii="Verdana" w:hAnsi="Verdana"/>
          <w:sz w:val="18"/>
          <w:szCs w:val="18"/>
          <w:lang w:val="x-none"/>
        </w:rPr>
        <w:t>Sweden, Ministry of Health and Social Affairs (</w:t>
      </w:r>
      <w:r w:rsidRPr="00D6034E">
        <w:rPr>
          <w:rFonts w:ascii="Verdana" w:hAnsi="Verdana"/>
          <w:i/>
          <w:sz w:val="18"/>
          <w:szCs w:val="18"/>
          <w:lang w:val="x-none"/>
        </w:rPr>
        <w:t>Socialdepartementet</w:t>
      </w:r>
      <w:r w:rsidRPr="00D6034E">
        <w:rPr>
          <w:rFonts w:ascii="Verdana" w:hAnsi="Verdana"/>
          <w:sz w:val="18"/>
          <w:szCs w:val="18"/>
          <w:lang w:val="x-none"/>
        </w:rPr>
        <w:t>), The Social Service Act (</w:t>
      </w:r>
      <w:hyperlink r:id="rId80" w:history="1">
        <w:r w:rsidRPr="00D6034E">
          <w:rPr>
            <w:rStyle w:val="Hyperlink"/>
            <w:rFonts w:ascii="Verdana" w:hAnsi="Verdana"/>
            <w:i/>
            <w:sz w:val="18"/>
            <w:szCs w:val="18"/>
            <w:lang w:val="x-none"/>
          </w:rPr>
          <w:t>Socialtjänstlag (2001:453)</w:t>
        </w:r>
      </w:hyperlink>
      <w:r w:rsidRPr="00D6034E">
        <w:rPr>
          <w:rFonts w:ascii="Verdana" w:hAnsi="Verdana"/>
          <w:sz w:val="18"/>
          <w:szCs w:val="18"/>
          <w:lang w:val="x-none"/>
        </w:rPr>
        <w:t>), chapter 2 para</w:t>
      </w:r>
      <w:r w:rsidRPr="00D6034E">
        <w:rPr>
          <w:rFonts w:ascii="Verdana" w:hAnsi="Verdana"/>
          <w:sz w:val="18"/>
          <w:szCs w:val="18"/>
        </w:rPr>
        <w:t xml:space="preserve">. </w:t>
      </w:r>
      <w:r w:rsidRPr="00D6034E">
        <w:rPr>
          <w:rFonts w:ascii="Verdana" w:hAnsi="Verdana"/>
          <w:sz w:val="18"/>
          <w:szCs w:val="18"/>
          <w:lang w:val="x-none"/>
        </w:rPr>
        <w:t>6</w:t>
      </w:r>
      <w:r w:rsidRPr="00D6034E">
        <w:rPr>
          <w:rFonts w:ascii="Verdana" w:hAnsi="Verdana"/>
          <w:sz w:val="18"/>
          <w:szCs w:val="18"/>
        </w:rPr>
        <w:t xml:space="preserve">, and chapters 3 and 5; </w:t>
      </w:r>
      <w:r w:rsidRPr="00D6034E">
        <w:rPr>
          <w:rFonts w:ascii="Verdana" w:hAnsi="Verdana"/>
          <w:sz w:val="18"/>
          <w:szCs w:val="18"/>
          <w:lang w:val="x-none"/>
        </w:rPr>
        <w:t xml:space="preserve">Sweden, Ministry of Health and Social Affairs </w:t>
      </w:r>
      <w:r w:rsidRPr="00D6034E">
        <w:rPr>
          <w:rFonts w:ascii="Verdana" w:hAnsi="Verdana"/>
          <w:i/>
          <w:sz w:val="18"/>
          <w:szCs w:val="18"/>
          <w:lang w:val="x-none"/>
        </w:rPr>
        <w:t>(Socialdepartementet)</w:t>
      </w:r>
      <w:r w:rsidRPr="00D6034E">
        <w:rPr>
          <w:rFonts w:ascii="Verdana" w:hAnsi="Verdana"/>
          <w:sz w:val="18"/>
          <w:szCs w:val="18"/>
          <w:lang w:val="x-none"/>
        </w:rPr>
        <w:t xml:space="preserve">, </w:t>
      </w:r>
      <w:hyperlink r:id="rId81" w:history="1">
        <w:r w:rsidRPr="00D6034E">
          <w:rPr>
            <w:rStyle w:val="Hyperlink"/>
            <w:rFonts w:ascii="Verdana" w:hAnsi="Verdana"/>
            <w:i/>
            <w:sz w:val="18"/>
            <w:szCs w:val="18"/>
            <w:lang w:val="x-none"/>
          </w:rPr>
          <w:t>Hälso- och sjukvårdslag (1982:763</w:t>
        </w:r>
      </w:hyperlink>
      <w:r w:rsidRPr="00D6034E">
        <w:rPr>
          <w:rFonts w:ascii="Verdana" w:hAnsi="Verdana"/>
          <w:sz w:val="18"/>
          <w:szCs w:val="18"/>
          <w:lang w:val="x-none"/>
        </w:rPr>
        <w:t>), paras. </w:t>
      </w:r>
      <w:r w:rsidRPr="00D6034E">
        <w:rPr>
          <w:rFonts w:ascii="Verdana" w:hAnsi="Verdana"/>
          <w:sz w:val="18"/>
          <w:szCs w:val="18"/>
        </w:rPr>
        <w:t>2(a) and</w:t>
      </w:r>
      <w:r w:rsidRPr="00D6034E">
        <w:rPr>
          <w:rFonts w:ascii="Verdana" w:hAnsi="Verdana"/>
          <w:sz w:val="18"/>
          <w:szCs w:val="18"/>
          <w:lang w:val="x-none"/>
        </w:rPr>
        <w:t xml:space="preserve"> 3</w:t>
      </w:r>
      <w:r w:rsidRPr="00D6034E">
        <w:rPr>
          <w:rFonts w:ascii="Verdana" w:hAnsi="Verdana"/>
          <w:sz w:val="18"/>
          <w:szCs w:val="18"/>
        </w:rPr>
        <w:t>.</w:t>
      </w:r>
    </w:p>
    <w:p w14:paraId="630475B6" w14:textId="77777777" w:rsidR="00E278E4" w:rsidRPr="00D6034E" w:rsidRDefault="00E278E4" w:rsidP="002C3ACE">
      <w:pPr>
        <w:pStyle w:val="EndnoteText"/>
        <w:rPr>
          <w:rFonts w:ascii="Verdana" w:hAnsi="Verdana"/>
          <w:sz w:val="18"/>
          <w:szCs w:val="18"/>
        </w:rPr>
      </w:pPr>
    </w:p>
  </w:endnote>
  <w:endnote w:id="88">
    <w:p w14:paraId="59342EA0" w14:textId="3D24B7CF"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United Kingdom (2014), </w:t>
      </w:r>
      <w:hyperlink r:id="rId82" w:history="1">
        <w:r w:rsidRPr="00D6034E">
          <w:rPr>
            <w:rStyle w:val="Hyperlink"/>
            <w:rFonts w:ascii="Verdana" w:hAnsi="Verdana"/>
            <w:i/>
            <w:sz w:val="18"/>
            <w:szCs w:val="18"/>
          </w:rPr>
          <w:t>Care Act 2014</w:t>
        </w:r>
      </w:hyperlink>
      <w:r w:rsidRPr="00D6034E">
        <w:rPr>
          <w:rFonts w:ascii="Verdana" w:hAnsi="Verdana"/>
          <w:sz w:val="18"/>
          <w:szCs w:val="18"/>
        </w:rPr>
        <w:t>, 14 May 2014, s. 6 and 7.</w:t>
      </w:r>
    </w:p>
    <w:p w14:paraId="3EBEE143" w14:textId="77777777" w:rsidR="00E278E4" w:rsidRPr="00D6034E" w:rsidRDefault="00E278E4" w:rsidP="002C3ACE">
      <w:pPr>
        <w:pStyle w:val="EndnoteText"/>
        <w:rPr>
          <w:rFonts w:ascii="Verdana" w:hAnsi="Verdana"/>
          <w:sz w:val="18"/>
          <w:szCs w:val="18"/>
        </w:rPr>
      </w:pPr>
    </w:p>
  </w:endnote>
  <w:endnote w:id="89">
    <w:p w14:paraId="39CB9090" w14:textId="44AC613B" w:rsidR="00E278E4" w:rsidRPr="00D6034E" w:rsidRDefault="00E278E4" w:rsidP="002C3ACE">
      <w:pPr>
        <w:pStyle w:val="EndnoteText"/>
        <w:rPr>
          <w:rFonts w:ascii="Verdana" w:hAnsi="Verdana"/>
          <w:sz w:val="18"/>
          <w:szCs w:val="18"/>
          <w:lang w:bidi="en-US"/>
        </w:rPr>
      </w:pPr>
      <w:r w:rsidRPr="00D6034E">
        <w:rPr>
          <w:rStyle w:val="EndnoteReference"/>
          <w:rFonts w:ascii="Verdana" w:hAnsi="Verdana"/>
          <w:sz w:val="18"/>
          <w:szCs w:val="18"/>
        </w:rPr>
        <w:endnoteRef/>
      </w:r>
      <w:r w:rsidRPr="00D6034E">
        <w:rPr>
          <w:rFonts w:ascii="Verdana" w:hAnsi="Verdana"/>
          <w:sz w:val="18"/>
          <w:szCs w:val="18"/>
        </w:rPr>
        <w:t xml:space="preserve"> Croatia (2011), </w:t>
      </w:r>
      <w:r w:rsidRPr="00D6034E">
        <w:rPr>
          <w:rFonts w:ascii="Verdana" w:hAnsi="Verdana"/>
          <w:sz w:val="18"/>
          <w:szCs w:val="18"/>
          <w:lang w:bidi="en-US"/>
        </w:rPr>
        <w:t>Strategy of Social Welfare Development in the Republic of Croatia 2011-2016 (</w:t>
      </w:r>
      <w:hyperlink r:id="rId83" w:history="1">
        <w:r w:rsidRPr="00D6034E">
          <w:rPr>
            <w:rStyle w:val="Hyperlink"/>
            <w:rFonts w:ascii="Verdana" w:hAnsi="Verdana"/>
            <w:i/>
            <w:sz w:val="18"/>
            <w:szCs w:val="18"/>
            <w:lang w:bidi="en-US"/>
          </w:rPr>
          <w:t>Strategija razvoja sustava socijalne skrbi u RH 2011-2016</w:t>
        </w:r>
      </w:hyperlink>
      <w:r w:rsidRPr="00D6034E">
        <w:rPr>
          <w:rFonts w:ascii="Verdana" w:hAnsi="Verdana"/>
          <w:sz w:val="18"/>
          <w:szCs w:val="18"/>
          <w:lang w:bidi="en-US"/>
        </w:rPr>
        <w:t>), p.30.</w:t>
      </w:r>
    </w:p>
    <w:p w14:paraId="3BD49A49" w14:textId="77777777" w:rsidR="00E278E4" w:rsidRPr="00D6034E" w:rsidRDefault="00E278E4" w:rsidP="002C3ACE">
      <w:pPr>
        <w:pStyle w:val="EndnoteText"/>
        <w:rPr>
          <w:rFonts w:ascii="Verdana" w:hAnsi="Verdana"/>
          <w:sz w:val="18"/>
          <w:szCs w:val="18"/>
        </w:rPr>
      </w:pPr>
    </w:p>
  </w:endnote>
  <w:endnote w:id="90">
    <w:p w14:paraId="5E47B9EB" w14:textId="50CA020D"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Croatia, Disability Ombudsman Office (</w:t>
      </w:r>
      <w:r w:rsidRPr="00D6034E">
        <w:rPr>
          <w:rFonts w:ascii="Verdana" w:hAnsi="Verdana"/>
          <w:i/>
          <w:sz w:val="18"/>
          <w:szCs w:val="18"/>
        </w:rPr>
        <w:t>Ured pravobraniteljice za osobe s invaliditetom</w:t>
      </w:r>
      <w:r w:rsidRPr="00D6034E">
        <w:rPr>
          <w:rFonts w:ascii="Verdana" w:hAnsi="Verdana"/>
          <w:sz w:val="18"/>
          <w:szCs w:val="18"/>
        </w:rPr>
        <w:t>)(2014); Disability Ombudsman Report 2014, p.162 (</w:t>
      </w:r>
      <w:hyperlink r:id="rId84" w:history="1">
        <w:r w:rsidRPr="00D6034E">
          <w:rPr>
            <w:rStyle w:val="Hyperlink"/>
            <w:rFonts w:ascii="Verdana" w:hAnsi="Verdana"/>
            <w:i/>
            <w:sz w:val="18"/>
            <w:szCs w:val="18"/>
          </w:rPr>
          <w:t>Izvješće o radu Ureda pravobraniteljice za osobe s invaliditetom za 2014 godinu</w:t>
        </w:r>
      </w:hyperlink>
      <w:r w:rsidRPr="00D6034E">
        <w:rPr>
          <w:rFonts w:ascii="Verdana" w:hAnsi="Verdana"/>
          <w:sz w:val="18"/>
          <w:szCs w:val="18"/>
        </w:rPr>
        <w:t>, str.1622).</w:t>
      </w:r>
    </w:p>
    <w:p w14:paraId="55C493A3" w14:textId="77777777" w:rsidR="00E278E4" w:rsidRPr="00D6034E" w:rsidRDefault="00E278E4" w:rsidP="002C3ACE">
      <w:pPr>
        <w:pStyle w:val="EndnoteText"/>
        <w:rPr>
          <w:rFonts w:ascii="Verdana" w:hAnsi="Verdana"/>
          <w:sz w:val="18"/>
          <w:szCs w:val="18"/>
        </w:rPr>
      </w:pPr>
    </w:p>
  </w:endnote>
  <w:endnote w:id="91">
    <w:p w14:paraId="17A25C63" w14:textId="70BD7ED7"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w:t>
      </w:r>
      <w:r w:rsidRPr="00D6034E">
        <w:rPr>
          <w:rFonts w:ascii="Verdana" w:hAnsi="Verdana"/>
          <w:sz w:val="18"/>
          <w:szCs w:val="18"/>
          <w:lang w:val="en-US"/>
        </w:rPr>
        <w:t xml:space="preserve">Greece, National Strategic Plan on Social Integration 2015-2020 </w:t>
      </w:r>
      <w:r w:rsidRPr="00D6034E">
        <w:rPr>
          <w:rFonts w:ascii="Verdana" w:hAnsi="Verdana"/>
          <w:i/>
          <w:sz w:val="18"/>
          <w:szCs w:val="18"/>
          <w:lang w:val="en-US"/>
        </w:rPr>
        <w:t>(</w:t>
      </w:r>
      <w:hyperlink r:id="rId85" w:history="1">
        <w:r w:rsidRPr="00D6034E">
          <w:rPr>
            <w:rStyle w:val="Hyperlink"/>
            <w:rFonts w:ascii="Verdana" w:hAnsi="Verdana"/>
            <w:i/>
            <w:sz w:val="18"/>
            <w:szCs w:val="18"/>
          </w:rPr>
          <w:t>Εθνικό Στρατηγικό Πλαίσιο για την Κοινωνική Ένταξη</w:t>
        </w:r>
      </w:hyperlink>
      <w:r w:rsidRPr="00D6034E">
        <w:rPr>
          <w:rFonts w:ascii="Verdana" w:hAnsi="Verdana"/>
          <w:bCs/>
          <w:i/>
          <w:sz w:val="18"/>
          <w:szCs w:val="18"/>
          <w:lang w:val="en-US"/>
        </w:rPr>
        <w:t>)</w:t>
      </w:r>
      <w:r w:rsidRPr="00D6034E">
        <w:rPr>
          <w:rFonts w:ascii="Verdana" w:hAnsi="Verdana"/>
          <w:sz w:val="18"/>
          <w:szCs w:val="18"/>
        </w:rPr>
        <w:t>.</w:t>
      </w:r>
    </w:p>
    <w:p w14:paraId="7160C0EF" w14:textId="77777777" w:rsidR="00E278E4" w:rsidRPr="00D6034E" w:rsidRDefault="00E278E4" w:rsidP="002C3ACE">
      <w:pPr>
        <w:pStyle w:val="EndnoteText"/>
        <w:rPr>
          <w:rFonts w:ascii="Verdana" w:hAnsi="Verdana"/>
          <w:sz w:val="18"/>
          <w:szCs w:val="18"/>
        </w:rPr>
      </w:pPr>
    </w:p>
  </w:endnote>
  <w:endnote w:id="92">
    <w:p w14:paraId="6439781D" w14:textId="30B8014E"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CRPD Committee (2017), </w:t>
      </w:r>
      <w:hyperlink r:id="rId86" w:history="1">
        <w:r w:rsidRPr="00D6034E">
          <w:rPr>
            <w:rStyle w:val="Hyperlink"/>
            <w:rFonts w:ascii="Verdana" w:hAnsi="Verdana"/>
            <w:sz w:val="18"/>
            <w:szCs w:val="18"/>
          </w:rPr>
          <w:t>General Comment No. 5 – Article 19: Living independently and being included in the community</w:t>
        </w:r>
      </w:hyperlink>
      <w:r w:rsidRPr="00D6034E">
        <w:rPr>
          <w:rFonts w:ascii="Verdana" w:hAnsi="Verdana"/>
          <w:sz w:val="18"/>
          <w:szCs w:val="18"/>
        </w:rPr>
        <w:t>, CRPD/C/18/1, 29 August 2017, para. 58.</w:t>
      </w:r>
    </w:p>
    <w:p w14:paraId="27D6802B" w14:textId="77777777" w:rsidR="00E278E4" w:rsidRPr="00D6034E" w:rsidRDefault="00E278E4" w:rsidP="002C3ACE">
      <w:pPr>
        <w:pStyle w:val="EndnoteText"/>
        <w:rPr>
          <w:rFonts w:ascii="Verdana" w:hAnsi="Verdana"/>
          <w:sz w:val="18"/>
          <w:szCs w:val="18"/>
        </w:rPr>
      </w:pPr>
    </w:p>
  </w:endnote>
  <w:endnote w:id="93">
    <w:p w14:paraId="190FCF9F" w14:textId="49C2DD25"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United Nations General Assembly (2014), Thematic study on the right of persons with disabilities to live independently and be included in the community: report of the Office of the United Nations High Commissioner for Human Rights, A/HRC/28/37, 12 December 2014, para. 26.</w:t>
      </w:r>
    </w:p>
    <w:p w14:paraId="6AFFC876" w14:textId="77777777" w:rsidR="00E278E4" w:rsidRPr="00D6034E" w:rsidRDefault="00E278E4" w:rsidP="002C3ACE">
      <w:pPr>
        <w:pStyle w:val="EndnoteText"/>
        <w:rPr>
          <w:rFonts w:ascii="Verdana" w:hAnsi="Verdana"/>
          <w:sz w:val="18"/>
          <w:szCs w:val="18"/>
        </w:rPr>
      </w:pPr>
    </w:p>
  </w:endnote>
  <w:endnote w:id="94">
    <w:p w14:paraId="42AB9ECA" w14:textId="53AAAD3B"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UN Special Rapporteur on the rights of persons with disabilities (2017), </w:t>
      </w:r>
      <w:hyperlink r:id="rId87" w:history="1">
        <w:r w:rsidRPr="00D6034E">
          <w:rPr>
            <w:rStyle w:val="Hyperlink"/>
            <w:rFonts w:ascii="Verdana" w:hAnsi="Verdana"/>
            <w:i/>
            <w:sz w:val="18"/>
            <w:szCs w:val="18"/>
          </w:rPr>
          <w:t>Report of the Special Rapporteur on the rights of persons with disabilities</w:t>
        </w:r>
      </w:hyperlink>
      <w:r w:rsidRPr="00D6034E">
        <w:rPr>
          <w:rFonts w:ascii="Verdana" w:hAnsi="Verdana"/>
          <w:sz w:val="18"/>
          <w:szCs w:val="18"/>
        </w:rPr>
        <w:t>, para. 58.</w:t>
      </w:r>
    </w:p>
    <w:p w14:paraId="71BA44B6" w14:textId="77777777" w:rsidR="00E278E4" w:rsidRPr="00D6034E" w:rsidRDefault="00E278E4" w:rsidP="002C3ACE">
      <w:pPr>
        <w:pStyle w:val="EndnoteText"/>
        <w:rPr>
          <w:rFonts w:ascii="Verdana" w:hAnsi="Verdana"/>
          <w:sz w:val="18"/>
          <w:szCs w:val="18"/>
        </w:rPr>
      </w:pPr>
    </w:p>
  </w:endnote>
  <w:endnote w:id="95">
    <w:p w14:paraId="2C6ED0DB" w14:textId="11EADF0C" w:rsidR="00E278E4" w:rsidRPr="00D6034E" w:rsidRDefault="00E278E4" w:rsidP="002C3ACE">
      <w:pPr>
        <w:pStyle w:val="EndnoteText"/>
        <w:rPr>
          <w:rFonts w:ascii="Verdana" w:hAnsi="Verdana"/>
          <w:sz w:val="18"/>
          <w:szCs w:val="18"/>
          <w:lang w:bidi="en-US"/>
        </w:rPr>
      </w:pPr>
      <w:r w:rsidRPr="00D6034E">
        <w:rPr>
          <w:rStyle w:val="EndnoteReference"/>
          <w:rFonts w:ascii="Verdana" w:hAnsi="Verdana"/>
          <w:sz w:val="18"/>
          <w:szCs w:val="18"/>
        </w:rPr>
        <w:endnoteRef/>
      </w:r>
      <w:r w:rsidRPr="00D6034E">
        <w:rPr>
          <w:rFonts w:ascii="Verdana" w:hAnsi="Verdana"/>
          <w:sz w:val="18"/>
          <w:szCs w:val="18"/>
        </w:rPr>
        <w:t xml:space="preserve"> Croatia (2011), </w:t>
      </w:r>
      <w:r w:rsidRPr="00D6034E">
        <w:rPr>
          <w:rFonts w:ascii="Verdana" w:hAnsi="Verdana"/>
          <w:sz w:val="18"/>
          <w:szCs w:val="18"/>
          <w:lang w:bidi="en-US"/>
        </w:rPr>
        <w:t>Strategy of Social Welfare Development in the Republic of Croatia 2011-2016 (</w:t>
      </w:r>
      <w:hyperlink r:id="rId88" w:history="1">
        <w:r w:rsidRPr="00D6034E">
          <w:rPr>
            <w:rStyle w:val="Hyperlink"/>
            <w:rFonts w:ascii="Verdana" w:hAnsi="Verdana"/>
            <w:i/>
            <w:sz w:val="18"/>
            <w:szCs w:val="18"/>
            <w:lang w:bidi="en-US"/>
          </w:rPr>
          <w:t>Strategija razvoja sustava socijalne skrbi u RH 2011-2016</w:t>
        </w:r>
      </w:hyperlink>
      <w:r w:rsidRPr="00D6034E">
        <w:rPr>
          <w:rFonts w:ascii="Verdana" w:hAnsi="Verdana"/>
          <w:sz w:val="18"/>
          <w:szCs w:val="18"/>
          <w:lang w:bidi="en-US"/>
        </w:rPr>
        <w:t>), p.30.</w:t>
      </w:r>
    </w:p>
    <w:p w14:paraId="5ECC6CA5" w14:textId="77777777" w:rsidR="00E278E4" w:rsidRPr="00D6034E" w:rsidRDefault="00E278E4" w:rsidP="002C3ACE">
      <w:pPr>
        <w:pStyle w:val="EndnoteText"/>
        <w:rPr>
          <w:rFonts w:ascii="Verdana" w:hAnsi="Verdana"/>
          <w:sz w:val="18"/>
          <w:szCs w:val="18"/>
        </w:rPr>
      </w:pPr>
    </w:p>
  </w:endnote>
  <w:endnote w:id="96">
    <w:p w14:paraId="6370ED4D" w14:textId="77777777" w:rsidR="00E278E4" w:rsidRPr="00D6034E" w:rsidRDefault="00E278E4" w:rsidP="002C3ACE">
      <w:pPr>
        <w:pStyle w:val="EndnoteText"/>
        <w:rPr>
          <w:rFonts w:ascii="Verdana" w:hAnsi="Verdana"/>
          <w:bCs/>
          <w:color w:val="000000"/>
          <w:sz w:val="18"/>
          <w:szCs w:val="18"/>
          <w:lang w:val="en-US" w:eastAsia="el-GR"/>
        </w:rPr>
      </w:pPr>
      <w:r w:rsidRPr="00D6034E">
        <w:rPr>
          <w:rStyle w:val="EndnoteReference"/>
          <w:rFonts w:ascii="Verdana" w:hAnsi="Verdana"/>
          <w:sz w:val="18"/>
          <w:szCs w:val="18"/>
        </w:rPr>
        <w:endnoteRef/>
      </w:r>
      <w:r w:rsidRPr="00D6034E">
        <w:rPr>
          <w:rFonts w:ascii="Verdana" w:hAnsi="Verdana"/>
          <w:sz w:val="18"/>
          <w:szCs w:val="18"/>
        </w:rPr>
        <w:t xml:space="preserve"> </w:t>
      </w:r>
      <w:r w:rsidRPr="00D6034E">
        <w:rPr>
          <w:rFonts w:ascii="Verdana" w:hAnsi="Verdana"/>
          <w:sz w:val="18"/>
          <w:szCs w:val="18"/>
          <w:lang w:val="en-US"/>
        </w:rPr>
        <w:t xml:space="preserve">Greece, </w:t>
      </w:r>
      <w:r w:rsidRPr="00D6034E">
        <w:rPr>
          <w:rFonts w:ascii="Verdana" w:hAnsi="Verdana"/>
          <w:color w:val="000000"/>
          <w:sz w:val="18"/>
          <w:szCs w:val="18"/>
          <w:lang w:val="en-US" w:eastAsia="el-GR"/>
        </w:rPr>
        <w:t xml:space="preserve">National Strategic Plan on Social Integration 2015-2020 </w:t>
      </w:r>
      <w:r w:rsidRPr="00D6034E">
        <w:rPr>
          <w:rFonts w:ascii="Verdana" w:hAnsi="Verdana"/>
          <w:i/>
          <w:color w:val="000000"/>
          <w:sz w:val="18"/>
          <w:szCs w:val="18"/>
          <w:lang w:val="en-US" w:eastAsia="el-GR"/>
        </w:rPr>
        <w:t>(</w:t>
      </w:r>
      <w:hyperlink r:id="rId89" w:history="1">
        <w:r w:rsidRPr="00D6034E">
          <w:rPr>
            <w:rStyle w:val="Hyperlink"/>
            <w:rFonts w:ascii="Verdana" w:hAnsi="Verdana"/>
            <w:i/>
            <w:sz w:val="18"/>
            <w:szCs w:val="18"/>
          </w:rPr>
          <w:t>Εθνικό Στρατηγικό Πλαίσιο για την Κοινωνική Ένταξη</w:t>
        </w:r>
      </w:hyperlink>
      <w:r w:rsidRPr="00D6034E">
        <w:rPr>
          <w:rFonts w:ascii="Verdana" w:hAnsi="Verdana"/>
          <w:bCs/>
          <w:i/>
          <w:color w:val="000000"/>
          <w:sz w:val="18"/>
          <w:szCs w:val="18"/>
          <w:lang w:val="en-US" w:eastAsia="el-GR"/>
        </w:rPr>
        <w:t>)</w:t>
      </w:r>
      <w:r w:rsidRPr="00D6034E">
        <w:rPr>
          <w:rFonts w:ascii="Verdana" w:hAnsi="Verdana"/>
          <w:bCs/>
          <w:color w:val="000000"/>
          <w:sz w:val="18"/>
          <w:szCs w:val="18"/>
          <w:lang w:val="en-US" w:eastAsia="el-GR"/>
        </w:rPr>
        <w:t>.</w:t>
      </w:r>
    </w:p>
    <w:p w14:paraId="0F0D1C86" w14:textId="7E4C8A5F" w:rsidR="00E278E4" w:rsidRPr="00D6034E" w:rsidRDefault="00E278E4" w:rsidP="002C3ACE">
      <w:pPr>
        <w:pStyle w:val="EndnoteText"/>
        <w:rPr>
          <w:rFonts w:ascii="Verdana" w:hAnsi="Verdana"/>
          <w:sz w:val="18"/>
          <w:szCs w:val="18"/>
        </w:rPr>
      </w:pPr>
      <w:r w:rsidRPr="00D6034E" w:rsidDel="00997ED7">
        <w:rPr>
          <w:rFonts w:ascii="Verdana" w:hAnsi="Verdana"/>
          <w:bCs/>
          <w:color w:val="000000"/>
          <w:sz w:val="18"/>
          <w:szCs w:val="18"/>
          <w:lang w:val="en-US" w:eastAsia="el-GR"/>
        </w:rPr>
        <w:t xml:space="preserve"> </w:t>
      </w:r>
    </w:p>
  </w:endnote>
  <w:endnote w:id="97">
    <w:p w14:paraId="59BF2A3C" w14:textId="05C17F5A"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CRPD Committee (2017), </w:t>
      </w:r>
      <w:hyperlink r:id="rId90" w:history="1">
        <w:r w:rsidRPr="00D6034E">
          <w:rPr>
            <w:rStyle w:val="Hyperlink"/>
            <w:rFonts w:ascii="Verdana" w:hAnsi="Verdana"/>
            <w:sz w:val="18"/>
            <w:szCs w:val="18"/>
          </w:rPr>
          <w:t>General Comment No. 5 – Article 19: Living independently and being included in the community</w:t>
        </w:r>
      </w:hyperlink>
      <w:r w:rsidRPr="00D6034E">
        <w:rPr>
          <w:rFonts w:ascii="Verdana" w:hAnsi="Verdana"/>
          <w:sz w:val="18"/>
          <w:szCs w:val="18"/>
        </w:rPr>
        <w:t>, CRPD/C/18/1, 29 August 2017, para. 15 (k).</w:t>
      </w:r>
    </w:p>
    <w:p w14:paraId="596551D3" w14:textId="77777777" w:rsidR="00E278E4" w:rsidRPr="00D6034E" w:rsidRDefault="00E278E4" w:rsidP="002C3ACE">
      <w:pPr>
        <w:pStyle w:val="EndnoteText"/>
        <w:rPr>
          <w:rFonts w:ascii="Verdana" w:hAnsi="Verdana"/>
          <w:sz w:val="18"/>
          <w:szCs w:val="18"/>
        </w:rPr>
      </w:pPr>
    </w:p>
  </w:endnote>
  <w:endnote w:id="98">
    <w:p w14:paraId="21FDBD4F" w14:textId="28F28DA3"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Denmark, the Act on Social Services, Consolidated act no. 150 of 16 February 2015 (</w:t>
      </w:r>
      <w:hyperlink r:id="rId91" w:history="1">
        <w:r w:rsidRPr="00D6034E">
          <w:rPr>
            <w:rStyle w:val="Hyperlink"/>
            <w:rFonts w:ascii="Verdana" w:hAnsi="Verdana"/>
            <w:i/>
            <w:sz w:val="18"/>
            <w:szCs w:val="18"/>
          </w:rPr>
          <w:t>Bekendtgørelse af lov om Social Service, nr. 150 af 16. februar 2015</w:t>
        </w:r>
      </w:hyperlink>
      <w:r w:rsidRPr="00D6034E">
        <w:rPr>
          <w:rFonts w:ascii="Verdana" w:hAnsi="Verdana"/>
          <w:sz w:val="18"/>
          <w:szCs w:val="18"/>
        </w:rPr>
        <w:t>).</w:t>
      </w:r>
    </w:p>
    <w:p w14:paraId="1F00FA79" w14:textId="77777777" w:rsidR="00E278E4" w:rsidRPr="00D6034E" w:rsidRDefault="00E278E4" w:rsidP="002C3ACE">
      <w:pPr>
        <w:pStyle w:val="EndnoteText"/>
        <w:rPr>
          <w:rFonts w:ascii="Verdana" w:hAnsi="Verdana"/>
          <w:sz w:val="18"/>
          <w:szCs w:val="18"/>
        </w:rPr>
      </w:pPr>
    </w:p>
  </w:endnote>
  <w:endnote w:id="99">
    <w:p w14:paraId="1E544875" w14:textId="2089BAB5" w:rsidR="00E278E4" w:rsidRPr="00D6034E" w:rsidRDefault="00E278E4" w:rsidP="002C3ACE">
      <w:pPr>
        <w:pStyle w:val="EndnoteText"/>
        <w:rPr>
          <w:rStyle w:val="Hyperlink"/>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Finland, National Institute for Health and Welfare (</w:t>
      </w:r>
      <w:r w:rsidRPr="00D6034E">
        <w:rPr>
          <w:rFonts w:ascii="Verdana" w:hAnsi="Verdana"/>
          <w:i/>
          <w:sz w:val="18"/>
          <w:szCs w:val="18"/>
        </w:rPr>
        <w:t>Terveyden ja hyvinvoinnin laitos/Institutet för hälsa och välfärd</w:t>
      </w:r>
      <w:r w:rsidRPr="00D6034E">
        <w:rPr>
          <w:rFonts w:ascii="Verdana" w:hAnsi="Verdana"/>
          <w:sz w:val="18"/>
          <w:szCs w:val="18"/>
        </w:rPr>
        <w:t>), ‘Asunnon vaihtaminen’ in the Handbook of Disability Services (</w:t>
      </w:r>
      <w:hyperlink r:id="rId92" w:history="1">
        <w:r w:rsidRPr="00D6034E">
          <w:rPr>
            <w:rStyle w:val="Hyperlink"/>
            <w:rFonts w:ascii="Verdana" w:hAnsi="Verdana"/>
            <w:i/>
            <w:sz w:val="18"/>
            <w:szCs w:val="18"/>
          </w:rPr>
          <w:t>Vammaispalvelujen käsikirja</w:t>
        </w:r>
      </w:hyperlink>
      <w:r w:rsidRPr="00D6034E">
        <w:rPr>
          <w:rFonts w:ascii="Verdana" w:hAnsi="Verdana"/>
          <w:sz w:val="18"/>
          <w:szCs w:val="18"/>
        </w:rPr>
        <w:t>)</w:t>
      </w:r>
      <w:r w:rsidRPr="00D6034E">
        <w:rPr>
          <w:rStyle w:val="Hyperlink"/>
          <w:rFonts w:ascii="Verdana" w:hAnsi="Verdana"/>
          <w:sz w:val="18"/>
          <w:szCs w:val="18"/>
        </w:rPr>
        <w:t>.</w:t>
      </w:r>
    </w:p>
    <w:p w14:paraId="0395C03D" w14:textId="77777777" w:rsidR="00E278E4" w:rsidRPr="00D6034E" w:rsidRDefault="00E278E4" w:rsidP="002C3ACE">
      <w:pPr>
        <w:pStyle w:val="EndnoteText"/>
        <w:rPr>
          <w:rFonts w:ascii="Verdana" w:hAnsi="Verdana"/>
          <w:sz w:val="18"/>
          <w:szCs w:val="18"/>
        </w:rPr>
      </w:pPr>
    </w:p>
  </w:endnote>
  <w:endnote w:id="100">
    <w:p w14:paraId="4244BF74" w14:textId="22FC9431" w:rsidR="00E278E4" w:rsidRPr="00D6034E" w:rsidRDefault="00E278E4" w:rsidP="002C3ACE">
      <w:pPr>
        <w:pStyle w:val="EndnoteText"/>
        <w:rPr>
          <w:rFonts w:ascii="Verdana" w:hAnsi="Verdana"/>
          <w:sz w:val="18"/>
          <w:szCs w:val="18"/>
          <w:lang w:bidi="en-US"/>
        </w:rPr>
      </w:pPr>
      <w:r w:rsidRPr="00D6034E">
        <w:rPr>
          <w:rStyle w:val="EndnoteReference"/>
          <w:rFonts w:ascii="Verdana" w:hAnsi="Verdana"/>
          <w:sz w:val="18"/>
          <w:szCs w:val="18"/>
        </w:rPr>
        <w:endnoteRef/>
      </w:r>
      <w:r w:rsidRPr="00D6034E">
        <w:rPr>
          <w:rFonts w:ascii="Verdana" w:hAnsi="Verdana"/>
          <w:sz w:val="18"/>
          <w:szCs w:val="18"/>
        </w:rPr>
        <w:t xml:space="preserve"> United Kingdom (2014) </w:t>
      </w:r>
      <w:hyperlink r:id="rId93" w:history="1">
        <w:r w:rsidRPr="00D6034E">
          <w:rPr>
            <w:rStyle w:val="Hyperlink"/>
            <w:rFonts w:ascii="Verdana" w:hAnsi="Verdana"/>
            <w:sz w:val="18"/>
            <w:szCs w:val="18"/>
          </w:rPr>
          <w:t>Care Act 2014</w:t>
        </w:r>
      </w:hyperlink>
      <w:r w:rsidRPr="00D6034E">
        <w:rPr>
          <w:rFonts w:ascii="Verdana" w:hAnsi="Verdana"/>
          <w:sz w:val="18"/>
          <w:szCs w:val="18"/>
        </w:rPr>
        <w:t xml:space="preserve">, 14 May 2014, ss. 39 and 38. </w:t>
      </w:r>
      <w:r w:rsidRPr="00D6034E">
        <w:rPr>
          <w:rFonts w:ascii="Verdana" w:hAnsi="Verdana"/>
          <w:sz w:val="18"/>
          <w:szCs w:val="18"/>
          <w:lang w:bidi="en-US"/>
        </w:rPr>
        <w:t>Further detailed provisions can be found in two specific regulations from 2014: the Care and Support (Continuity of Care) Regulations and the Care and Support (Disputes between Local Authorities) Regulations.</w:t>
      </w:r>
    </w:p>
    <w:p w14:paraId="0C8A504B" w14:textId="77777777" w:rsidR="00E278E4" w:rsidRPr="00D6034E" w:rsidRDefault="00E278E4" w:rsidP="002C3ACE">
      <w:pPr>
        <w:pStyle w:val="EndnoteText"/>
        <w:rPr>
          <w:rFonts w:ascii="Verdana" w:hAnsi="Verdana"/>
          <w:sz w:val="18"/>
          <w:szCs w:val="18"/>
        </w:rPr>
      </w:pPr>
    </w:p>
  </w:endnote>
  <w:endnote w:id="101">
    <w:p w14:paraId="4AD48E20" w14:textId="63362074"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For more information, see FRA’s </w:t>
      </w:r>
      <w:hyperlink r:id="rId94" w:history="1">
        <w:r w:rsidRPr="00D6034E">
          <w:rPr>
            <w:rStyle w:val="Hyperlink"/>
            <w:rFonts w:ascii="Verdana" w:hAnsi="Verdana"/>
            <w:sz w:val="18"/>
            <w:szCs w:val="18"/>
          </w:rPr>
          <w:t>webpage on this research project</w:t>
        </w:r>
      </w:hyperlink>
      <w:r w:rsidRPr="00D6034E">
        <w:rPr>
          <w:rFonts w:ascii="Verdana" w:hAnsi="Verdana"/>
          <w:sz w:val="18"/>
          <w:szCs w:val="18"/>
        </w:rPr>
        <w:t xml:space="preserve">. </w:t>
      </w:r>
    </w:p>
    <w:p w14:paraId="3275AD46" w14:textId="77777777" w:rsidR="00E278E4" w:rsidRPr="00D6034E" w:rsidRDefault="00E278E4" w:rsidP="002C3ACE">
      <w:pPr>
        <w:pStyle w:val="EndnoteText"/>
        <w:rPr>
          <w:rFonts w:ascii="Verdana" w:hAnsi="Verdana"/>
          <w:sz w:val="18"/>
          <w:szCs w:val="18"/>
        </w:rPr>
      </w:pPr>
    </w:p>
  </w:endnote>
  <w:endnote w:id="102">
    <w:p w14:paraId="3F8DE08B" w14:textId="5FA6C00F"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Bulgarian Helsinki Committee (2017), </w:t>
      </w:r>
      <w:hyperlink r:id="rId95" w:history="1">
        <w:r w:rsidRPr="00D6034E">
          <w:rPr>
            <w:rStyle w:val="Hyperlink"/>
            <w:rFonts w:ascii="Verdana" w:hAnsi="Verdana"/>
            <w:i/>
            <w:sz w:val="18"/>
            <w:szCs w:val="18"/>
          </w:rPr>
          <w:t>Alternative report about the rights of persons with disabilities in Bulgaria under the UN convention on the rights of persons with disabilities</w:t>
        </w:r>
      </w:hyperlink>
      <w:r w:rsidRPr="00D6034E">
        <w:rPr>
          <w:rFonts w:ascii="Verdana" w:hAnsi="Verdana"/>
          <w:sz w:val="18"/>
          <w:szCs w:val="18"/>
        </w:rPr>
        <w:t xml:space="preserve">, pp. 53 and 82. Bulgarian National Network for Children (2016), </w:t>
      </w:r>
      <w:hyperlink r:id="rId96" w:history="1">
        <w:r w:rsidRPr="00D6034E">
          <w:rPr>
            <w:rStyle w:val="Hyperlink"/>
            <w:rFonts w:ascii="Verdana" w:hAnsi="Verdana"/>
            <w:i/>
            <w:sz w:val="18"/>
            <w:szCs w:val="18"/>
          </w:rPr>
          <w:t>Report card 2016. What is the average government score for childcare</w:t>
        </w:r>
      </w:hyperlink>
      <w:r w:rsidRPr="00D6034E">
        <w:rPr>
          <w:rFonts w:ascii="Verdana" w:hAnsi="Verdana"/>
          <w:sz w:val="18"/>
          <w:szCs w:val="18"/>
        </w:rPr>
        <w:t>, pp. 29 and 34.</w:t>
      </w:r>
    </w:p>
    <w:p w14:paraId="6785349D" w14:textId="77777777" w:rsidR="00E278E4" w:rsidRPr="00D6034E" w:rsidRDefault="00E278E4" w:rsidP="002C3ACE">
      <w:pPr>
        <w:pStyle w:val="EndnoteText"/>
        <w:rPr>
          <w:rFonts w:ascii="Verdana" w:hAnsi="Verdana"/>
          <w:sz w:val="18"/>
          <w:szCs w:val="18"/>
        </w:rPr>
      </w:pPr>
    </w:p>
  </w:endnote>
  <w:endnote w:id="103">
    <w:p w14:paraId="06975BAA" w14:textId="7C40513C"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European Parliament Committee on Petitions (2016), </w:t>
      </w:r>
      <w:hyperlink r:id="rId97" w:history="1">
        <w:r w:rsidRPr="00D6034E">
          <w:rPr>
            <w:rStyle w:val="Hyperlink"/>
            <w:rFonts w:ascii="Verdana" w:hAnsi="Verdana"/>
            <w:i/>
            <w:sz w:val="18"/>
            <w:szCs w:val="18"/>
          </w:rPr>
          <w:t>Mission report and recommendations following the fact-finding visit to Slovakia of</w:t>
        </w:r>
      </w:hyperlink>
      <w:r w:rsidRPr="00D6034E">
        <w:rPr>
          <w:rFonts w:ascii="Verdana" w:hAnsi="Verdana"/>
          <w:i/>
          <w:sz w:val="18"/>
          <w:szCs w:val="18"/>
        </w:rPr>
        <w:t xml:space="preserve"> 22-23 September 2016</w:t>
      </w:r>
      <w:r w:rsidRPr="00D6034E">
        <w:rPr>
          <w:rFonts w:ascii="Verdana" w:hAnsi="Verdana"/>
          <w:sz w:val="18"/>
          <w:szCs w:val="18"/>
        </w:rPr>
        <w:t>, 29 November 2016.</w:t>
      </w:r>
    </w:p>
    <w:p w14:paraId="4A7961B5" w14:textId="77777777" w:rsidR="00E278E4" w:rsidRPr="00D6034E" w:rsidRDefault="00E278E4" w:rsidP="002C3ACE">
      <w:pPr>
        <w:pStyle w:val="EndnoteText"/>
        <w:rPr>
          <w:rFonts w:ascii="Verdana" w:hAnsi="Verdana"/>
          <w:sz w:val="18"/>
          <w:szCs w:val="18"/>
        </w:rPr>
      </w:pPr>
    </w:p>
  </w:endnote>
  <w:endnote w:id="104">
    <w:p w14:paraId="6863FEE7" w14:textId="2DA640C9"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w:t>
      </w:r>
      <w:hyperlink r:id="rId98" w:history="1">
        <w:r w:rsidRPr="00D6034E">
          <w:rPr>
            <w:rStyle w:val="Hyperlink"/>
            <w:rFonts w:ascii="Verdana" w:hAnsi="Verdana"/>
            <w:sz w:val="18"/>
            <w:szCs w:val="18"/>
          </w:rPr>
          <w:t>Council Regulation (EC) No. 168/2007 of 15 February 2007 establishing a European Union Agency for Fundamental Rights</w:t>
        </w:r>
      </w:hyperlink>
      <w:r w:rsidRPr="00D6034E">
        <w:rPr>
          <w:rFonts w:ascii="Verdana" w:hAnsi="Verdana"/>
          <w:sz w:val="18"/>
          <w:szCs w:val="18"/>
        </w:rPr>
        <w:t>, OJ L 53/1, 22 February 2007, Art. 2.</w:t>
      </w:r>
    </w:p>
    <w:p w14:paraId="74E5A824" w14:textId="77777777" w:rsidR="00E278E4" w:rsidRPr="00D6034E" w:rsidRDefault="00E278E4" w:rsidP="002C3ACE">
      <w:pPr>
        <w:pStyle w:val="EndnoteText"/>
        <w:rPr>
          <w:rFonts w:ascii="Verdana" w:hAnsi="Verdana"/>
          <w:sz w:val="18"/>
          <w:szCs w:val="18"/>
        </w:rPr>
      </w:pPr>
    </w:p>
  </w:endnote>
  <w:endnote w:id="105">
    <w:p w14:paraId="5F36E2B2" w14:textId="297072FA"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FRA (2014), </w:t>
      </w:r>
      <w:hyperlink r:id="rId99" w:history="1">
        <w:r w:rsidRPr="00D6034E">
          <w:rPr>
            <w:rStyle w:val="Hyperlink"/>
            <w:rFonts w:ascii="Verdana" w:hAnsi="Verdana"/>
            <w:i/>
            <w:sz w:val="18"/>
            <w:szCs w:val="18"/>
          </w:rPr>
          <w:t>The right to political participation for persons with disabilities: human rights indicators</w:t>
        </w:r>
      </w:hyperlink>
      <w:r w:rsidRPr="00D6034E">
        <w:rPr>
          <w:rFonts w:ascii="Verdana" w:hAnsi="Verdana"/>
          <w:sz w:val="18"/>
          <w:szCs w:val="18"/>
        </w:rPr>
        <w:t xml:space="preserve">, Luxembourg, Publications Office. See also: FRA (2010), </w:t>
      </w:r>
      <w:hyperlink r:id="rId100" w:history="1">
        <w:r w:rsidRPr="00D6034E">
          <w:rPr>
            <w:rStyle w:val="Hyperlink"/>
            <w:rFonts w:ascii="Verdana" w:hAnsi="Verdana"/>
            <w:i/>
            <w:sz w:val="18"/>
            <w:szCs w:val="18"/>
          </w:rPr>
          <w:t>The right to political participation of persons with mental health problems and persons with intellectual disabilities</w:t>
        </w:r>
      </w:hyperlink>
      <w:r w:rsidRPr="00D6034E">
        <w:rPr>
          <w:rFonts w:ascii="Verdana" w:hAnsi="Verdana"/>
          <w:sz w:val="18"/>
          <w:szCs w:val="18"/>
        </w:rPr>
        <w:t>, Luxembourg, Publications Office.</w:t>
      </w:r>
    </w:p>
    <w:p w14:paraId="59F7AB13" w14:textId="77777777" w:rsidR="00E278E4" w:rsidRPr="00D6034E" w:rsidRDefault="00E278E4" w:rsidP="002C3ACE">
      <w:pPr>
        <w:pStyle w:val="EndnoteText"/>
        <w:rPr>
          <w:rFonts w:ascii="Verdana" w:hAnsi="Verdana"/>
          <w:sz w:val="18"/>
          <w:szCs w:val="18"/>
        </w:rPr>
      </w:pPr>
    </w:p>
  </w:endnote>
  <w:endnote w:id="106">
    <w:p w14:paraId="57A3AD64" w14:textId="0D6AD1F8"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FRA (2013), </w:t>
      </w:r>
      <w:hyperlink r:id="rId101" w:history="1">
        <w:r w:rsidRPr="00D6034E">
          <w:rPr>
            <w:rStyle w:val="Hyperlink"/>
            <w:rFonts w:ascii="Verdana" w:hAnsi="Verdana"/>
            <w:i/>
            <w:sz w:val="18"/>
            <w:szCs w:val="18"/>
          </w:rPr>
          <w:t>Legal capacity of persons with intellectual disabilities and persons with mental health problems</w:t>
        </w:r>
      </w:hyperlink>
      <w:r w:rsidRPr="00D6034E">
        <w:rPr>
          <w:rFonts w:ascii="Verdana" w:hAnsi="Verdana"/>
          <w:i/>
          <w:sz w:val="18"/>
          <w:szCs w:val="18"/>
        </w:rPr>
        <w:t>,</w:t>
      </w:r>
      <w:r w:rsidRPr="00D6034E">
        <w:rPr>
          <w:rFonts w:ascii="Verdana" w:hAnsi="Verdana"/>
          <w:sz w:val="18"/>
          <w:szCs w:val="18"/>
        </w:rPr>
        <w:t xml:space="preserve"> Luxembourg, Publications Office.</w:t>
      </w:r>
    </w:p>
    <w:p w14:paraId="5605D74E" w14:textId="77777777" w:rsidR="00E278E4" w:rsidRPr="00D6034E" w:rsidRDefault="00E278E4" w:rsidP="002C3ACE">
      <w:pPr>
        <w:pStyle w:val="EndnoteText"/>
        <w:rPr>
          <w:rFonts w:ascii="Verdana" w:hAnsi="Verdana"/>
          <w:sz w:val="18"/>
          <w:szCs w:val="18"/>
        </w:rPr>
      </w:pPr>
    </w:p>
  </w:endnote>
  <w:endnote w:id="107">
    <w:p w14:paraId="3D3FB04B" w14:textId="3921BEBA" w:rsidR="00E278E4" w:rsidRPr="00D6034E" w:rsidRDefault="00E278E4" w:rsidP="002C3ACE">
      <w:pPr>
        <w:pStyle w:val="EndnoteText"/>
        <w:rPr>
          <w:rFonts w:ascii="Verdana" w:hAnsi="Verdana"/>
          <w:i/>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FRA (2012), </w:t>
      </w:r>
      <w:hyperlink r:id="rId102" w:history="1">
        <w:r w:rsidRPr="00D6034E">
          <w:rPr>
            <w:rStyle w:val="Hyperlink"/>
            <w:rFonts w:ascii="Verdana" w:hAnsi="Verdana"/>
            <w:i/>
            <w:sz w:val="18"/>
            <w:szCs w:val="18"/>
          </w:rPr>
          <w:t>Involuntary placement and involuntary treatment of persons with mental health problems</w:t>
        </w:r>
      </w:hyperlink>
      <w:r w:rsidRPr="00D6034E">
        <w:rPr>
          <w:rFonts w:ascii="Verdana" w:hAnsi="Verdana"/>
          <w:i/>
          <w:sz w:val="18"/>
          <w:szCs w:val="18"/>
        </w:rPr>
        <w:t xml:space="preserve">, </w:t>
      </w:r>
    </w:p>
    <w:p w14:paraId="5E9EB4EB" w14:textId="77777777" w:rsidR="00E278E4" w:rsidRPr="00D6034E" w:rsidRDefault="00E278E4" w:rsidP="002C3ACE">
      <w:pPr>
        <w:pStyle w:val="EndnoteText"/>
        <w:rPr>
          <w:rFonts w:ascii="Verdana" w:hAnsi="Verdana"/>
          <w:sz w:val="18"/>
          <w:szCs w:val="18"/>
        </w:rPr>
      </w:pPr>
    </w:p>
  </w:endnote>
  <w:endnote w:id="108">
    <w:p w14:paraId="4F5AF45A" w14:textId="12F4B6CA"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FRA (2012, </w:t>
      </w:r>
      <w:hyperlink r:id="rId103" w:history="1">
        <w:r w:rsidRPr="00D6034E">
          <w:rPr>
            <w:rStyle w:val="Hyperlink"/>
            <w:rFonts w:ascii="Verdana" w:hAnsi="Verdana"/>
            <w:i/>
            <w:sz w:val="18"/>
            <w:szCs w:val="18"/>
          </w:rPr>
          <w:t>Choice and control: the right to independent living</w:t>
        </w:r>
      </w:hyperlink>
      <w:r w:rsidRPr="00D6034E">
        <w:rPr>
          <w:rFonts w:ascii="Verdana" w:hAnsi="Verdana"/>
          <w:sz w:val="18"/>
          <w:szCs w:val="18"/>
        </w:rPr>
        <w:t>, Luxembourg, Publications Office.</w:t>
      </w:r>
    </w:p>
    <w:p w14:paraId="16A02444" w14:textId="77777777" w:rsidR="00E278E4" w:rsidRPr="00D6034E" w:rsidRDefault="00E278E4" w:rsidP="002C3ACE">
      <w:pPr>
        <w:pStyle w:val="EndnoteText"/>
        <w:rPr>
          <w:rFonts w:ascii="Verdana" w:hAnsi="Verdana"/>
          <w:sz w:val="18"/>
          <w:szCs w:val="18"/>
        </w:rPr>
      </w:pPr>
    </w:p>
  </w:endnote>
  <w:endnote w:id="109">
    <w:p w14:paraId="6F5D08FE" w14:textId="3555AE50"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FRA (2011), </w:t>
      </w:r>
      <w:hyperlink r:id="rId104" w:history="1">
        <w:r w:rsidRPr="00D6034E">
          <w:rPr>
            <w:rStyle w:val="Hyperlink"/>
            <w:rFonts w:ascii="Verdana" w:hAnsi="Verdana"/>
            <w:i/>
            <w:sz w:val="18"/>
            <w:szCs w:val="18"/>
          </w:rPr>
          <w:t>The legal protection of persons with mental health problems under non-discrimination law</w:t>
        </w:r>
      </w:hyperlink>
      <w:r w:rsidRPr="00D6034E">
        <w:rPr>
          <w:rFonts w:ascii="Verdana" w:hAnsi="Verdana"/>
          <w:sz w:val="18"/>
          <w:szCs w:val="18"/>
        </w:rPr>
        <w:t>, Luxembourg, Publications Office.</w:t>
      </w:r>
    </w:p>
    <w:p w14:paraId="511511C3" w14:textId="77777777" w:rsidR="00E278E4" w:rsidRPr="00D6034E" w:rsidRDefault="00E278E4" w:rsidP="002C3ACE">
      <w:pPr>
        <w:pStyle w:val="EndnoteText"/>
        <w:rPr>
          <w:rFonts w:ascii="Verdana" w:hAnsi="Verdana"/>
          <w:sz w:val="18"/>
          <w:szCs w:val="18"/>
        </w:rPr>
      </w:pPr>
    </w:p>
  </w:endnote>
  <w:endnote w:id="110">
    <w:p w14:paraId="5F2EF27B" w14:textId="20B3CB0C"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FRA (2015), </w:t>
      </w:r>
      <w:hyperlink r:id="rId105" w:history="1">
        <w:r w:rsidRPr="00D6034E">
          <w:rPr>
            <w:rStyle w:val="Hyperlink"/>
            <w:rFonts w:ascii="Verdana" w:hAnsi="Verdana"/>
            <w:i/>
            <w:sz w:val="18"/>
            <w:szCs w:val="18"/>
          </w:rPr>
          <w:t>Violence against children with disabilities: legislation, policies and programmes in the EU</w:t>
        </w:r>
      </w:hyperlink>
      <w:r w:rsidRPr="00D6034E">
        <w:rPr>
          <w:rFonts w:ascii="Verdana" w:hAnsi="Verdana"/>
          <w:sz w:val="18"/>
          <w:szCs w:val="18"/>
        </w:rPr>
        <w:t>, Luxembourg, Publications Office.</w:t>
      </w:r>
    </w:p>
    <w:p w14:paraId="55B36C44" w14:textId="77777777" w:rsidR="00E278E4" w:rsidRPr="00D6034E" w:rsidRDefault="00E278E4" w:rsidP="002C3ACE">
      <w:pPr>
        <w:pStyle w:val="EndnoteText"/>
        <w:rPr>
          <w:rFonts w:ascii="Verdana" w:hAnsi="Verdana"/>
          <w:sz w:val="18"/>
          <w:szCs w:val="18"/>
        </w:rPr>
      </w:pPr>
    </w:p>
  </w:endnote>
  <w:endnote w:id="111">
    <w:p w14:paraId="27193C6A" w14:textId="75854736"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This background paper is available on FRA’s webpage on '</w:t>
      </w:r>
      <w:hyperlink r:id="rId106" w:history="1">
        <w:r w:rsidRPr="00D6034E">
          <w:rPr>
            <w:rStyle w:val="Hyperlink"/>
            <w:rFonts w:ascii="Verdana" w:hAnsi="Verdana"/>
            <w:sz w:val="18"/>
            <w:szCs w:val="18"/>
          </w:rPr>
          <w:t>Rights of persons with disabilities (The right to independent living)</w:t>
        </w:r>
      </w:hyperlink>
      <w:r w:rsidRPr="00D6034E">
        <w:rPr>
          <w:rFonts w:ascii="Verdana" w:hAnsi="Verdana"/>
          <w:sz w:val="18"/>
          <w:szCs w:val="18"/>
        </w:rPr>
        <w:t xml:space="preserve">'. </w:t>
      </w:r>
    </w:p>
    <w:p w14:paraId="5F4D3D8D" w14:textId="77777777" w:rsidR="00E278E4" w:rsidRPr="00D6034E" w:rsidRDefault="00E278E4" w:rsidP="002C3ACE">
      <w:pPr>
        <w:pStyle w:val="EndnoteText"/>
        <w:rPr>
          <w:rFonts w:ascii="Verdana" w:hAnsi="Verdana"/>
          <w:sz w:val="18"/>
          <w:szCs w:val="18"/>
        </w:rPr>
      </w:pPr>
    </w:p>
  </w:endnote>
  <w:endnote w:id="112">
    <w:p w14:paraId="0E2F7F49" w14:textId="31F38E50"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The indicators are based on the human rights model developed by the OHCHR. See: UN, OHCHR (2012), </w:t>
      </w:r>
      <w:hyperlink r:id="rId107" w:history="1">
        <w:r w:rsidRPr="00D6034E">
          <w:rPr>
            <w:rStyle w:val="Hyperlink"/>
            <w:rFonts w:ascii="Verdana" w:hAnsi="Verdana"/>
            <w:i/>
            <w:sz w:val="18"/>
            <w:szCs w:val="18"/>
          </w:rPr>
          <w:t>Report on Human rights indicators: A Guide to Measurement and Implementation</w:t>
        </w:r>
      </w:hyperlink>
      <w:r w:rsidRPr="00D6034E">
        <w:rPr>
          <w:rFonts w:ascii="Verdana" w:hAnsi="Verdana"/>
          <w:sz w:val="18"/>
          <w:szCs w:val="18"/>
        </w:rPr>
        <w:t>, HR/PUB/12/5.</w:t>
      </w:r>
    </w:p>
    <w:p w14:paraId="313F23B0" w14:textId="77777777" w:rsidR="00E278E4" w:rsidRPr="00D6034E" w:rsidRDefault="00E278E4" w:rsidP="002C3ACE">
      <w:pPr>
        <w:pStyle w:val="EndnoteText"/>
        <w:rPr>
          <w:rFonts w:ascii="Verdana" w:hAnsi="Verdana"/>
          <w:sz w:val="18"/>
          <w:szCs w:val="18"/>
        </w:rPr>
      </w:pPr>
    </w:p>
  </w:endnote>
  <w:endnote w:id="113">
    <w:p w14:paraId="4F32BFA7" w14:textId="77FD278E"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See FRA’s webpage on the </w:t>
      </w:r>
      <w:hyperlink r:id="rId108" w:history="1">
        <w:r w:rsidRPr="00D6034E">
          <w:rPr>
            <w:rStyle w:val="Hyperlink"/>
            <w:rFonts w:ascii="Verdana" w:hAnsi="Verdana"/>
            <w:sz w:val="18"/>
            <w:szCs w:val="18"/>
          </w:rPr>
          <w:t>Article 19 indicators</w:t>
        </w:r>
      </w:hyperlink>
      <w:r w:rsidRPr="00D6034E">
        <w:rPr>
          <w:rFonts w:ascii="Verdana" w:hAnsi="Verdana"/>
          <w:sz w:val="18"/>
          <w:szCs w:val="18"/>
        </w:rPr>
        <w:t>.</w:t>
      </w:r>
    </w:p>
    <w:p w14:paraId="5E48EC21" w14:textId="77777777" w:rsidR="00E278E4" w:rsidRPr="00D6034E" w:rsidRDefault="00E278E4" w:rsidP="002C3ACE">
      <w:pPr>
        <w:pStyle w:val="EndnoteText"/>
        <w:rPr>
          <w:rFonts w:ascii="Verdana" w:hAnsi="Verdana"/>
          <w:sz w:val="18"/>
          <w:szCs w:val="18"/>
        </w:rPr>
      </w:pPr>
    </w:p>
  </w:endnote>
  <w:endnote w:id="114">
    <w:p w14:paraId="68EF42FB" w14:textId="4221DC45" w:rsidR="00E278E4" w:rsidRPr="00D6034E" w:rsidRDefault="00E278E4" w:rsidP="002C3ACE">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UN, OHCHR (2012), </w:t>
      </w:r>
      <w:hyperlink r:id="rId109" w:history="1">
        <w:r w:rsidRPr="00D6034E">
          <w:rPr>
            <w:rStyle w:val="Hyperlink"/>
            <w:rFonts w:ascii="Verdana" w:hAnsi="Verdana"/>
            <w:i/>
            <w:sz w:val="18"/>
            <w:szCs w:val="18"/>
          </w:rPr>
          <w:t>Report on Human rights indicators: A Guide to Measurement and Implementation</w:t>
        </w:r>
      </w:hyperlink>
      <w:r w:rsidRPr="00D6034E">
        <w:rPr>
          <w:rFonts w:ascii="Verdana" w:hAnsi="Verdana"/>
          <w:sz w:val="18"/>
          <w:szCs w:val="18"/>
        </w:rPr>
        <w:t>, HR/PUB/12/5.</w:t>
      </w:r>
    </w:p>
    <w:p w14:paraId="2E979BFC" w14:textId="77777777" w:rsidR="00E278E4" w:rsidRPr="00D6034E" w:rsidRDefault="00E278E4" w:rsidP="002C3ACE">
      <w:pPr>
        <w:pStyle w:val="EndnoteText"/>
        <w:rPr>
          <w:rFonts w:ascii="Verdana" w:hAnsi="Verdana"/>
          <w:sz w:val="18"/>
          <w:szCs w:val="18"/>
        </w:rPr>
      </w:pPr>
    </w:p>
  </w:endnote>
  <w:endnote w:id="115">
    <w:p w14:paraId="69677B9A" w14:textId="1110E569" w:rsidR="00E278E4" w:rsidRDefault="00E278E4" w:rsidP="008F619D">
      <w:pPr>
        <w:pStyle w:val="EndnoteText"/>
        <w:rPr>
          <w:rFonts w:ascii="Verdana" w:hAnsi="Verdana"/>
          <w:sz w:val="18"/>
          <w:szCs w:val="18"/>
        </w:rPr>
      </w:pPr>
      <w:r w:rsidRPr="00D6034E">
        <w:rPr>
          <w:rStyle w:val="EndnoteReference"/>
          <w:rFonts w:ascii="Verdana" w:hAnsi="Verdana"/>
          <w:sz w:val="18"/>
          <w:szCs w:val="18"/>
        </w:rPr>
        <w:endnoteRef/>
      </w:r>
      <w:r w:rsidRPr="00D6034E">
        <w:rPr>
          <w:rFonts w:ascii="Verdana" w:hAnsi="Verdana"/>
          <w:sz w:val="18"/>
          <w:szCs w:val="18"/>
        </w:rPr>
        <w:t xml:space="preserve"> FRA (2014), </w:t>
      </w:r>
      <w:hyperlink r:id="rId110" w:history="1">
        <w:r w:rsidRPr="00D6034E">
          <w:rPr>
            <w:rStyle w:val="Hyperlink"/>
            <w:rFonts w:ascii="Verdana" w:hAnsi="Verdana"/>
            <w:i/>
            <w:sz w:val="18"/>
            <w:szCs w:val="18"/>
          </w:rPr>
          <w:t xml:space="preserve">The right to political participation for persons </w:t>
        </w:r>
        <w:r>
          <w:rPr>
            <w:rStyle w:val="Hyperlink"/>
            <w:rFonts w:ascii="Verdana" w:hAnsi="Verdana"/>
            <w:i/>
            <w:sz w:val="18"/>
            <w:szCs w:val="18"/>
          </w:rPr>
          <w:t>with disabilities: human rights</w:t>
        </w:r>
        <w:r w:rsidRPr="00D6034E">
          <w:rPr>
            <w:rStyle w:val="Hyperlink"/>
            <w:rFonts w:ascii="Verdana" w:hAnsi="Verdana"/>
            <w:i/>
            <w:sz w:val="18"/>
            <w:szCs w:val="18"/>
          </w:rPr>
          <w:t xml:space="preserve"> indicators</w:t>
        </w:r>
      </w:hyperlink>
      <w:r w:rsidRPr="00D6034E">
        <w:rPr>
          <w:rFonts w:ascii="Verdana" w:hAnsi="Verdana"/>
          <w:sz w:val="18"/>
          <w:szCs w:val="18"/>
        </w:rPr>
        <w:t>, Luxembourg, Publications Office.</w:t>
      </w:r>
    </w:p>
    <w:p w14:paraId="4791BC04" w14:textId="77777777" w:rsidR="00E278E4" w:rsidRDefault="00E278E4" w:rsidP="008F619D">
      <w:pPr>
        <w:pStyle w:val="EndnoteText"/>
        <w:rPr>
          <w:rFonts w:ascii="Verdana" w:hAnsi="Verdana"/>
          <w:sz w:val="18"/>
          <w:szCs w:val="18"/>
        </w:rPr>
      </w:pPr>
    </w:p>
    <w:p w14:paraId="574BF3D4" w14:textId="77777777" w:rsidR="00E278E4" w:rsidRDefault="00E278E4" w:rsidP="008F619D">
      <w:pPr>
        <w:pStyle w:val="EndnoteText"/>
        <w:rPr>
          <w:rFonts w:ascii="Verdana" w:hAnsi="Verdana"/>
          <w:sz w:val="18"/>
          <w:szCs w:val="18"/>
        </w:rPr>
      </w:pPr>
    </w:p>
    <w:p w14:paraId="17D5F165" w14:textId="77777777" w:rsidR="00E278E4" w:rsidRDefault="00E278E4" w:rsidP="008F619D">
      <w:pPr>
        <w:pStyle w:val="EndnoteText"/>
        <w:rPr>
          <w:rFonts w:ascii="Verdana" w:hAnsi="Verdana"/>
          <w:sz w:val="18"/>
          <w:szCs w:val="18"/>
        </w:rPr>
      </w:pPr>
    </w:p>
    <w:p w14:paraId="059A8051" w14:textId="77777777" w:rsidR="00E278E4" w:rsidRDefault="00E278E4" w:rsidP="008F619D">
      <w:pPr>
        <w:pStyle w:val="EndnoteText"/>
        <w:rPr>
          <w:rFonts w:ascii="Verdana" w:hAnsi="Verdana"/>
          <w:sz w:val="18"/>
          <w:szCs w:val="18"/>
        </w:rPr>
      </w:pPr>
    </w:p>
    <w:p w14:paraId="133967FD" w14:textId="77777777" w:rsidR="00E278E4" w:rsidRDefault="00E278E4" w:rsidP="008F619D">
      <w:pPr>
        <w:pStyle w:val="EndnoteText"/>
        <w:rPr>
          <w:rFonts w:ascii="Verdana" w:hAnsi="Verdana"/>
          <w:sz w:val="18"/>
          <w:szCs w:val="18"/>
        </w:rPr>
      </w:pPr>
    </w:p>
    <w:p w14:paraId="1C57101B" w14:textId="77777777" w:rsidR="00E278E4" w:rsidRDefault="00E278E4" w:rsidP="008F619D">
      <w:pPr>
        <w:pStyle w:val="EndnoteText"/>
        <w:rPr>
          <w:rFonts w:ascii="Verdana" w:hAnsi="Verdana"/>
          <w:sz w:val="18"/>
          <w:szCs w:val="18"/>
        </w:rPr>
      </w:pPr>
    </w:p>
    <w:p w14:paraId="5311A251" w14:textId="77777777" w:rsidR="00E278E4" w:rsidRDefault="00E278E4" w:rsidP="008F619D">
      <w:pPr>
        <w:pStyle w:val="EndnoteText"/>
        <w:rPr>
          <w:rFonts w:ascii="Verdana" w:hAnsi="Verdana"/>
          <w:sz w:val="18"/>
          <w:szCs w:val="18"/>
        </w:rPr>
      </w:pPr>
    </w:p>
    <w:p w14:paraId="668CD457" w14:textId="77777777" w:rsidR="00E278E4" w:rsidRDefault="00E278E4" w:rsidP="008F619D">
      <w:pPr>
        <w:pStyle w:val="EndnoteText"/>
        <w:rPr>
          <w:rFonts w:ascii="Verdana" w:hAnsi="Verdana"/>
          <w:sz w:val="18"/>
          <w:szCs w:val="18"/>
        </w:rPr>
      </w:pPr>
    </w:p>
    <w:p w14:paraId="43BB026B" w14:textId="77777777" w:rsidR="00E278E4" w:rsidRDefault="00E278E4" w:rsidP="008F619D">
      <w:pPr>
        <w:pStyle w:val="EndnoteText"/>
        <w:rPr>
          <w:rFonts w:ascii="Verdana" w:hAnsi="Verdana"/>
          <w:sz w:val="18"/>
          <w:szCs w:val="18"/>
        </w:rPr>
      </w:pPr>
    </w:p>
    <w:p w14:paraId="7858A387" w14:textId="77777777" w:rsidR="00E278E4" w:rsidRDefault="00E278E4" w:rsidP="008F619D">
      <w:pPr>
        <w:pStyle w:val="EndnoteText"/>
        <w:rPr>
          <w:rFonts w:ascii="Verdana" w:hAnsi="Verdana"/>
          <w:sz w:val="18"/>
          <w:szCs w:val="18"/>
        </w:rPr>
      </w:pPr>
    </w:p>
    <w:p w14:paraId="7B865804" w14:textId="77777777" w:rsidR="00E278E4" w:rsidRDefault="00E278E4" w:rsidP="008F619D">
      <w:pPr>
        <w:pStyle w:val="EndnoteText"/>
        <w:rPr>
          <w:rFonts w:ascii="Verdana" w:hAnsi="Verdana"/>
          <w:sz w:val="18"/>
          <w:szCs w:val="18"/>
        </w:rPr>
      </w:pPr>
    </w:p>
    <w:p w14:paraId="6BEB99E5" w14:textId="77777777" w:rsidR="00E278E4" w:rsidRDefault="00E278E4" w:rsidP="008F619D">
      <w:pPr>
        <w:pStyle w:val="EndnoteText"/>
        <w:rPr>
          <w:rFonts w:ascii="Verdana" w:hAnsi="Verdana"/>
          <w:sz w:val="18"/>
          <w:szCs w:val="18"/>
        </w:rPr>
      </w:pPr>
    </w:p>
    <w:p w14:paraId="487BDD8D" w14:textId="77777777" w:rsidR="00E278E4" w:rsidRDefault="00E278E4" w:rsidP="008F619D">
      <w:pPr>
        <w:pStyle w:val="EndnoteText"/>
        <w:rPr>
          <w:rFonts w:ascii="Verdana" w:hAnsi="Verdana"/>
          <w:sz w:val="18"/>
          <w:szCs w:val="18"/>
        </w:rPr>
      </w:pPr>
    </w:p>
    <w:p w14:paraId="52EF51B3" w14:textId="77777777" w:rsidR="00E278E4" w:rsidRDefault="00E278E4" w:rsidP="008F619D">
      <w:pPr>
        <w:pStyle w:val="EndnoteText"/>
        <w:rPr>
          <w:rFonts w:ascii="Verdana" w:hAnsi="Verdana"/>
          <w:sz w:val="18"/>
          <w:szCs w:val="18"/>
        </w:rPr>
      </w:pPr>
    </w:p>
    <w:p w14:paraId="421E13F2" w14:textId="77777777" w:rsidR="00E278E4" w:rsidRDefault="00E278E4" w:rsidP="008F619D">
      <w:pPr>
        <w:pStyle w:val="EndnoteText"/>
        <w:rPr>
          <w:rFonts w:ascii="Verdana" w:hAnsi="Verdana"/>
          <w:sz w:val="18"/>
          <w:szCs w:val="18"/>
        </w:rPr>
      </w:pPr>
    </w:p>
    <w:p w14:paraId="16F0158A" w14:textId="77777777" w:rsidR="00E278E4" w:rsidRDefault="00E278E4" w:rsidP="008F619D">
      <w:pPr>
        <w:pStyle w:val="EndnoteText"/>
        <w:rPr>
          <w:rFonts w:ascii="Verdana" w:hAnsi="Verdana"/>
          <w:sz w:val="18"/>
          <w:szCs w:val="18"/>
        </w:rPr>
      </w:pPr>
    </w:p>
    <w:p w14:paraId="137714D2" w14:textId="77777777" w:rsidR="00E278E4" w:rsidRDefault="00E278E4" w:rsidP="008F619D">
      <w:pPr>
        <w:pStyle w:val="EndnoteText"/>
        <w:rPr>
          <w:rFonts w:ascii="Verdana" w:hAnsi="Verdana"/>
          <w:sz w:val="18"/>
          <w:szCs w:val="18"/>
        </w:rPr>
      </w:pPr>
    </w:p>
    <w:p w14:paraId="5A666CEB" w14:textId="77777777" w:rsidR="00E278E4" w:rsidRDefault="00E278E4" w:rsidP="008F619D">
      <w:pPr>
        <w:pStyle w:val="EndnoteText"/>
        <w:rPr>
          <w:rFonts w:ascii="Verdana" w:hAnsi="Verdana"/>
          <w:sz w:val="18"/>
          <w:szCs w:val="18"/>
        </w:rPr>
      </w:pPr>
    </w:p>
    <w:p w14:paraId="266D48CB" w14:textId="77777777" w:rsidR="00E278E4" w:rsidRDefault="00E278E4" w:rsidP="008F619D">
      <w:pPr>
        <w:pStyle w:val="EndnoteText"/>
        <w:rPr>
          <w:rFonts w:ascii="Verdana" w:hAnsi="Verdana"/>
          <w:sz w:val="18"/>
          <w:szCs w:val="18"/>
        </w:rPr>
      </w:pPr>
    </w:p>
    <w:p w14:paraId="498E49EB" w14:textId="77777777" w:rsidR="00E278E4" w:rsidRDefault="00E278E4" w:rsidP="008F619D">
      <w:pPr>
        <w:pStyle w:val="EndnoteText"/>
        <w:rPr>
          <w:rFonts w:ascii="Verdana" w:hAnsi="Verdana"/>
          <w:sz w:val="18"/>
          <w:szCs w:val="18"/>
        </w:rPr>
      </w:pPr>
    </w:p>
    <w:p w14:paraId="36658C63" w14:textId="77777777" w:rsidR="00E278E4" w:rsidRDefault="00E278E4" w:rsidP="008F619D">
      <w:pPr>
        <w:pStyle w:val="EndnoteText"/>
        <w:rPr>
          <w:rFonts w:ascii="Verdana" w:hAnsi="Verdana"/>
          <w:sz w:val="18"/>
          <w:szCs w:val="18"/>
        </w:rPr>
      </w:pPr>
    </w:p>
    <w:p w14:paraId="3C49CD8C" w14:textId="77777777" w:rsidR="00E278E4" w:rsidRPr="00D6034E" w:rsidRDefault="00E278E4" w:rsidP="008F619D">
      <w:pPr>
        <w:pStyle w:val="EndnoteText"/>
        <w:rPr>
          <w:rFonts w:ascii="Verdana" w:hAnsi="Verdana"/>
          <w:sz w:val="18"/>
          <w:szCs w:val="18"/>
        </w:rPr>
      </w:pPr>
    </w:p>
    <w:p w14:paraId="407E154A" w14:textId="4C7091E4" w:rsidR="00E278E4" w:rsidRPr="00F43F87" w:rsidRDefault="00E278E4" w:rsidP="002C3ACE">
      <w:pPr>
        <w:rPr>
          <w:rFonts w:ascii="Verdana" w:hAnsi="Verdana"/>
        </w:rPr>
      </w:pPr>
      <w:r w:rsidRPr="00F43F87">
        <w:rPr>
          <w:rFonts w:ascii="Verdana" w:hAnsi="Verdana"/>
        </w:rPr>
        <w:t xml:space="preserve">All but one of the EU Member States, and the EU itself, have ratified the CRPD, committing themselves to achieving independent living for persons with disabilities. Realising this goal requires a meaningful and sustainable shift from institutional to community-based living arrangements. This, in turn, calls for both deinstitutionalisation strategies and for effectively coordinating the different actors involved in making deinstitutionalisation a reality. However, putting in place political commitments and implementation structures is just one element of the process. The other two reports in FRA’s three-part series dedicated to this topic look at other important factors: budgeting and financing, and measuring outcomes for persons with disabilities. Taken together, the three reports provide important insights that can support ongoing efforts to make independent living a reality for persons with disabilities. </w:t>
      </w:r>
    </w:p>
    <w:p w14:paraId="1999D677" w14:textId="77777777" w:rsidR="00E278E4" w:rsidRPr="00F43F87" w:rsidRDefault="00E278E4" w:rsidP="002C3ACE">
      <w:pPr>
        <w:pStyle w:val="EndnoteText"/>
        <w:rPr>
          <w:rFonts w:ascii="Verdana" w:hAnsi="Verdan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DaxlinePro-Regular">
    <w:altName w:val="DaxlinePro-Regular"/>
    <w:panose1 w:val="020B0504020101020102"/>
    <w:charset w:val="00"/>
    <w:family w:val="swiss"/>
    <w:notTrueType/>
    <w:pitch w:val="variable"/>
    <w:sig w:usb0="A00002FF" w:usb1="4000A4FB" w:usb2="00000000" w:usb3="00000000" w:csb0="0000009F" w:csb1="00000000"/>
  </w:font>
  <w:font w:name="DaxlinePro-Bold">
    <w:altName w:val="DaxlinePro-Bold"/>
    <w:panose1 w:val="020B0804020101020102"/>
    <w:charset w:val="00"/>
    <w:family w:val="swiss"/>
    <w:notTrueType/>
    <w:pitch w:val="variable"/>
    <w:sig w:usb0="A00002FF" w:usb1="4000A4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679B6" w14:textId="6DDD2CD8" w:rsidR="00E278E4" w:rsidRDefault="00E278E4" w:rsidP="001113A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37574"/>
      <w:docPartObj>
        <w:docPartGallery w:val="Page Numbers (Bottom of Page)"/>
        <w:docPartUnique/>
      </w:docPartObj>
    </w:sdtPr>
    <w:sdtEndPr>
      <w:rPr>
        <w:noProof/>
      </w:rPr>
    </w:sdtEndPr>
    <w:sdtContent>
      <w:p w14:paraId="38F0FAC5" w14:textId="77777777" w:rsidR="00E278E4" w:rsidRDefault="00E278E4" w:rsidP="00DA0D48">
        <w:pPr>
          <w:pStyle w:val="Footer"/>
          <w:jc w:val="center"/>
        </w:pPr>
        <w:r>
          <w:fldChar w:fldCharType="begin"/>
        </w:r>
        <w:r>
          <w:instrText xml:space="preserve"> PAGE   \* MERGEFORMAT </w:instrText>
        </w:r>
        <w:r>
          <w:fldChar w:fldCharType="separate"/>
        </w:r>
        <w:r w:rsidR="002746D5">
          <w:rPr>
            <w:noProof/>
          </w:rPr>
          <w:t>21</w:t>
        </w:r>
        <w:r>
          <w:rPr>
            <w:noProof/>
          </w:rPr>
          <w:fldChar w:fldCharType="end"/>
        </w:r>
      </w:p>
    </w:sdtContent>
  </w:sdt>
  <w:p w14:paraId="0FD13588" w14:textId="77777777" w:rsidR="00E278E4" w:rsidRDefault="00E278E4" w:rsidP="002C3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29493" w14:textId="77777777" w:rsidR="00E278E4" w:rsidRDefault="00E278E4" w:rsidP="002C3ACE">
      <w:r>
        <w:separator/>
      </w:r>
    </w:p>
  </w:footnote>
  <w:footnote w:type="continuationSeparator" w:id="0">
    <w:p w14:paraId="2ADFC4A9" w14:textId="77777777" w:rsidR="00E278E4" w:rsidRDefault="00E278E4" w:rsidP="002C3ACE">
      <w:r>
        <w:continuationSeparator/>
      </w:r>
    </w:p>
  </w:footnote>
  <w:footnote w:type="continuationNotice" w:id="1">
    <w:p w14:paraId="3B719332" w14:textId="77777777" w:rsidR="00E278E4" w:rsidRDefault="00E278E4" w:rsidP="002C3A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65C9"/>
    <w:multiLevelType w:val="multilevel"/>
    <w:tmpl w:val="3C1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86FC2"/>
    <w:multiLevelType w:val="hybridMultilevel"/>
    <w:tmpl w:val="2384E5B4"/>
    <w:lvl w:ilvl="0" w:tplc="C308962E">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77CFA"/>
    <w:multiLevelType w:val="hybridMultilevel"/>
    <w:tmpl w:val="9B60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F0569"/>
    <w:multiLevelType w:val="hybridMultilevel"/>
    <w:tmpl w:val="51B87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75438"/>
    <w:multiLevelType w:val="hybridMultilevel"/>
    <w:tmpl w:val="DDB6194C"/>
    <w:lvl w:ilvl="0" w:tplc="CDFAA4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F4DE2"/>
    <w:multiLevelType w:val="hybridMultilevel"/>
    <w:tmpl w:val="038A40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055E2"/>
    <w:multiLevelType w:val="hybridMultilevel"/>
    <w:tmpl w:val="E024511A"/>
    <w:lvl w:ilvl="0" w:tplc="B294752E">
      <w:numFmt w:val="bullet"/>
      <w:lvlText w:val="-"/>
      <w:lvlJc w:val="left"/>
      <w:pPr>
        <w:ind w:left="720" w:hanging="360"/>
      </w:pPr>
      <w:rPr>
        <w:rFonts w:ascii="Verdana" w:eastAsiaTheme="minorHAnsi" w:hAnsi="Verdana" w:cstheme="minorBidi" w:hint="default"/>
        <w: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75D7A"/>
    <w:multiLevelType w:val="hybridMultilevel"/>
    <w:tmpl w:val="0360E5D6"/>
    <w:lvl w:ilvl="0" w:tplc="75F8171C">
      <w:start w:val="1"/>
      <w:numFmt w:val="decimal"/>
      <w:lvlText w:val="(%1)"/>
      <w:lvlJc w:val="left"/>
      <w:pPr>
        <w:ind w:left="405" w:hanging="4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72B24"/>
    <w:multiLevelType w:val="hybridMultilevel"/>
    <w:tmpl w:val="80B66AA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23B87864"/>
    <w:multiLevelType w:val="hybridMultilevel"/>
    <w:tmpl w:val="EBE66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675B"/>
    <w:multiLevelType w:val="hybridMultilevel"/>
    <w:tmpl w:val="00AC2BFC"/>
    <w:lvl w:ilvl="0" w:tplc="27506F1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23F2E"/>
    <w:multiLevelType w:val="hybridMultilevel"/>
    <w:tmpl w:val="04B4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12A71"/>
    <w:multiLevelType w:val="hybridMultilevel"/>
    <w:tmpl w:val="CE88E3F4"/>
    <w:lvl w:ilvl="0" w:tplc="C308962E">
      <w:start w:val="1"/>
      <w:numFmt w:val="lowerLetter"/>
      <w:lvlText w:val="%1."/>
      <w:lvlJc w:val="left"/>
      <w:pPr>
        <w:ind w:left="720" w:hanging="360"/>
      </w:pPr>
      <w:rPr>
        <w:i w:val="0"/>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42DFD"/>
    <w:multiLevelType w:val="hybridMultilevel"/>
    <w:tmpl w:val="B02AC0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F47F5"/>
    <w:multiLevelType w:val="hybridMultilevel"/>
    <w:tmpl w:val="9C4E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846A5"/>
    <w:multiLevelType w:val="hybridMultilevel"/>
    <w:tmpl w:val="69F0A684"/>
    <w:lvl w:ilvl="0" w:tplc="AD96C9E6">
      <w:start w:val="1"/>
      <w:numFmt w:val="decimal"/>
      <w:lvlText w:val="%1."/>
      <w:lvlJc w:val="left"/>
      <w:pPr>
        <w:ind w:left="1637" w:hanging="360"/>
      </w:pPr>
      <w:rPr>
        <w:b w:val="0"/>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6" w15:restartNumberingAfterBreak="0">
    <w:nsid w:val="3A2B31AF"/>
    <w:multiLevelType w:val="hybridMultilevel"/>
    <w:tmpl w:val="FCF61252"/>
    <w:lvl w:ilvl="0" w:tplc="A636DA66">
      <w:start w:val="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379D5"/>
    <w:multiLevelType w:val="hybridMultilevel"/>
    <w:tmpl w:val="2932D3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1D53C78"/>
    <w:multiLevelType w:val="hybridMultilevel"/>
    <w:tmpl w:val="2D462EBA"/>
    <w:lvl w:ilvl="0" w:tplc="EDC65456">
      <w:start w:val="1"/>
      <w:numFmt w:val="decimal"/>
      <w:lvlText w:val="%1."/>
      <w:lvlJc w:val="left"/>
      <w:pPr>
        <w:ind w:left="720" w:hanging="360"/>
      </w:pPr>
      <w:rPr>
        <w:b/>
      </w:rPr>
    </w:lvl>
    <w:lvl w:ilvl="1" w:tplc="301E62BC">
      <w:start w:val="1"/>
      <w:numFmt w:val="lowerLetter"/>
      <w:lvlText w:val="%2."/>
      <w:lvlJc w:val="left"/>
      <w:pPr>
        <w:ind w:left="1440" w:hanging="360"/>
      </w:pPr>
      <w:rPr>
        <w:i w:val="0"/>
      </w:rPr>
    </w:lvl>
    <w:lvl w:ilvl="2" w:tplc="08090001">
      <w:start w:val="1"/>
      <w:numFmt w:val="bullet"/>
      <w:lvlText w:val=""/>
      <w:lvlJc w:val="left"/>
      <w:pPr>
        <w:ind w:left="2160" w:hanging="18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192DFD"/>
    <w:multiLevelType w:val="hybridMultilevel"/>
    <w:tmpl w:val="F1ACD920"/>
    <w:lvl w:ilvl="0" w:tplc="B37418F2">
      <w:start w:val="5"/>
      <w:numFmt w:val="bullet"/>
      <w:lvlText w:val="-"/>
      <w:lvlJc w:val="left"/>
      <w:pPr>
        <w:ind w:left="1068" w:hanging="360"/>
      </w:pPr>
      <w:rPr>
        <w:rFonts w:ascii="Calibri" w:eastAsia="Times New Roman" w:hAnsi="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cs="Wingdings" w:hint="default"/>
      </w:rPr>
    </w:lvl>
    <w:lvl w:ilvl="3" w:tplc="0C0A0001">
      <w:start w:val="1"/>
      <w:numFmt w:val="bullet"/>
      <w:lvlText w:val=""/>
      <w:lvlJc w:val="left"/>
      <w:pPr>
        <w:ind w:left="3228" w:hanging="360"/>
      </w:pPr>
      <w:rPr>
        <w:rFonts w:ascii="Symbol" w:hAnsi="Symbol" w:cs="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cs="Wingdings" w:hint="default"/>
      </w:rPr>
    </w:lvl>
    <w:lvl w:ilvl="6" w:tplc="0C0A0001">
      <w:start w:val="1"/>
      <w:numFmt w:val="bullet"/>
      <w:lvlText w:val=""/>
      <w:lvlJc w:val="left"/>
      <w:pPr>
        <w:ind w:left="5388" w:hanging="360"/>
      </w:pPr>
      <w:rPr>
        <w:rFonts w:ascii="Symbol" w:hAnsi="Symbol" w:cs="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cs="Wingdings" w:hint="default"/>
      </w:rPr>
    </w:lvl>
  </w:abstractNum>
  <w:abstractNum w:abstractNumId="20" w15:restartNumberingAfterBreak="0">
    <w:nsid w:val="48547B73"/>
    <w:multiLevelType w:val="hybridMultilevel"/>
    <w:tmpl w:val="E9BC7F54"/>
    <w:lvl w:ilvl="0" w:tplc="9536E02E">
      <w:start w:val="1"/>
      <w:numFmt w:val="bullet"/>
      <w:lvlText w:val=""/>
      <w:lvlJc w:val="left"/>
      <w:pPr>
        <w:ind w:left="720" w:hanging="360"/>
      </w:pPr>
      <w:rPr>
        <w:rFonts w:ascii="Wingdings" w:hAnsi="Wingdings" w:hint="default"/>
        <w:color w:val="00565B"/>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1431C"/>
    <w:multiLevelType w:val="hybridMultilevel"/>
    <w:tmpl w:val="FBDCC708"/>
    <w:lvl w:ilvl="0" w:tplc="59F81398">
      <w:start w:val="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C151F"/>
    <w:multiLevelType w:val="hybridMultilevel"/>
    <w:tmpl w:val="EBC8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71240"/>
    <w:multiLevelType w:val="hybridMultilevel"/>
    <w:tmpl w:val="9FF86B82"/>
    <w:lvl w:ilvl="0" w:tplc="CDFAA4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F2878"/>
    <w:multiLevelType w:val="hybridMultilevel"/>
    <w:tmpl w:val="FB2C5540"/>
    <w:lvl w:ilvl="0" w:tplc="DED2B76C">
      <w:start w:val="1"/>
      <w:numFmt w:val="bullet"/>
      <w:lvlText w:val=""/>
      <w:lvlJc w:val="left"/>
      <w:pPr>
        <w:ind w:left="720" w:hanging="360"/>
      </w:pPr>
      <w:rPr>
        <w:rFonts w:ascii="Symbol" w:hAnsi="Symbol" w:hint="default"/>
        <w:color w:val="00565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ED4081"/>
    <w:multiLevelType w:val="hybridMultilevel"/>
    <w:tmpl w:val="CBE492CA"/>
    <w:lvl w:ilvl="0" w:tplc="4C420A5C">
      <w:numFmt w:val="bullet"/>
      <w:lvlText w:val=""/>
      <w:lvlJc w:val="left"/>
      <w:pPr>
        <w:ind w:left="720" w:hanging="360"/>
      </w:pPr>
      <w:rPr>
        <w:rFonts w:ascii="Wingdings" w:eastAsia="Calibr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C457E4"/>
    <w:multiLevelType w:val="hybridMultilevel"/>
    <w:tmpl w:val="79D8CB94"/>
    <w:lvl w:ilvl="0" w:tplc="7F0E9E68">
      <w:start w:val="1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735DE7"/>
    <w:multiLevelType w:val="hybridMultilevel"/>
    <w:tmpl w:val="6FDE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F5DD6"/>
    <w:multiLevelType w:val="hybridMultilevel"/>
    <w:tmpl w:val="2C2AB7C6"/>
    <w:lvl w:ilvl="0" w:tplc="C7C0B7B6">
      <w:start w:val="1"/>
      <w:numFmt w:val="lowerLetter"/>
      <w:lvlText w:val="%1."/>
      <w:lvlJc w:val="left"/>
      <w:pPr>
        <w:ind w:left="720" w:hanging="360"/>
      </w:pPr>
      <w:rPr>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6D2EDA"/>
    <w:multiLevelType w:val="hybridMultilevel"/>
    <w:tmpl w:val="28C4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B7C1F"/>
    <w:multiLevelType w:val="multilevel"/>
    <w:tmpl w:val="FE024D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F86948"/>
    <w:multiLevelType w:val="hybridMultilevel"/>
    <w:tmpl w:val="D8607840"/>
    <w:lvl w:ilvl="0" w:tplc="9536E02E">
      <w:start w:val="1"/>
      <w:numFmt w:val="bullet"/>
      <w:lvlText w:val=""/>
      <w:lvlJc w:val="left"/>
      <w:pPr>
        <w:ind w:left="720" w:hanging="360"/>
      </w:pPr>
      <w:rPr>
        <w:rFonts w:ascii="Wingdings" w:hAnsi="Wingdings" w:hint="default"/>
        <w:color w:val="00565B"/>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47F5E"/>
    <w:multiLevelType w:val="hybridMultilevel"/>
    <w:tmpl w:val="FB966F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064744"/>
    <w:multiLevelType w:val="hybridMultilevel"/>
    <w:tmpl w:val="7D0E252A"/>
    <w:lvl w:ilvl="0" w:tplc="3594C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F92875"/>
    <w:multiLevelType w:val="hybridMultilevel"/>
    <w:tmpl w:val="A796C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5A70F7"/>
    <w:multiLevelType w:val="hybridMultilevel"/>
    <w:tmpl w:val="7700CB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9F209F"/>
    <w:multiLevelType w:val="hybridMultilevel"/>
    <w:tmpl w:val="6E38C4EC"/>
    <w:lvl w:ilvl="0" w:tplc="B1BE3C08">
      <w:start w:val="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A0788"/>
    <w:multiLevelType w:val="hybridMultilevel"/>
    <w:tmpl w:val="53C8AB6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8" w15:restartNumberingAfterBreak="0">
    <w:nsid w:val="756E5A6C"/>
    <w:multiLevelType w:val="hybridMultilevel"/>
    <w:tmpl w:val="19728674"/>
    <w:lvl w:ilvl="0" w:tplc="78C0D0B6">
      <w:start w:val="1"/>
      <w:numFmt w:val="bullet"/>
      <w:lvlText w:val=""/>
      <w:lvlJc w:val="left"/>
      <w:pPr>
        <w:ind w:left="720" w:hanging="360"/>
      </w:pPr>
      <w:rPr>
        <w:rFonts w:ascii="Wingdings" w:hAnsi="Wingdings" w:hint="default"/>
        <w:color w:val="00565B"/>
        <w:sz w:val="28"/>
        <w:szCs w:val="28"/>
      </w:rPr>
    </w:lvl>
    <w:lvl w:ilvl="1" w:tplc="D1C8663A">
      <w:start w:val="1"/>
      <w:numFmt w:val="bullet"/>
      <w:lvlText w:val=""/>
      <w:lvlJc w:val="left"/>
      <w:pPr>
        <w:ind w:left="1440" w:hanging="360"/>
      </w:pPr>
      <w:rPr>
        <w:rFonts w:ascii="Symbol" w:hAnsi="Symbol"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D0750"/>
    <w:multiLevelType w:val="hybridMultilevel"/>
    <w:tmpl w:val="2744B8DC"/>
    <w:lvl w:ilvl="0" w:tplc="0809000F">
      <w:start w:val="1"/>
      <w:numFmt w:val="decimal"/>
      <w:lvlText w:val="%1."/>
      <w:lvlJc w:val="left"/>
      <w:pPr>
        <w:ind w:left="720" w:hanging="360"/>
      </w:pPr>
      <w:rPr>
        <w:rFonts w:hint="default"/>
      </w:rPr>
    </w:lvl>
    <w:lvl w:ilvl="1" w:tplc="6B7260A6">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302E7A"/>
    <w:multiLevelType w:val="hybridMultilevel"/>
    <w:tmpl w:val="E58CBC14"/>
    <w:lvl w:ilvl="0" w:tplc="EA0A49AE">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05A51"/>
    <w:multiLevelType w:val="hybridMultilevel"/>
    <w:tmpl w:val="5FD63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9942C8"/>
    <w:multiLevelType w:val="hybridMultilevel"/>
    <w:tmpl w:val="7960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7065FB"/>
    <w:multiLevelType w:val="hybridMultilevel"/>
    <w:tmpl w:val="D4F66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CC4709"/>
    <w:multiLevelType w:val="hybridMultilevel"/>
    <w:tmpl w:val="8FB48146"/>
    <w:lvl w:ilvl="0" w:tplc="DCBE213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44"/>
  </w:num>
  <w:num w:numId="4">
    <w:abstractNumId w:val="18"/>
  </w:num>
  <w:num w:numId="5">
    <w:abstractNumId w:val="28"/>
  </w:num>
  <w:num w:numId="6">
    <w:abstractNumId w:val="6"/>
  </w:num>
  <w:num w:numId="7">
    <w:abstractNumId w:val="3"/>
  </w:num>
  <w:num w:numId="8">
    <w:abstractNumId w:val="5"/>
  </w:num>
  <w:num w:numId="9">
    <w:abstractNumId w:val="4"/>
  </w:num>
  <w:num w:numId="10">
    <w:abstractNumId w:val="23"/>
  </w:num>
  <w:num w:numId="11">
    <w:abstractNumId w:val="0"/>
  </w:num>
  <w:num w:numId="12">
    <w:abstractNumId w:val="37"/>
  </w:num>
  <w:num w:numId="13">
    <w:abstractNumId w:val="8"/>
  </w:num>
  <w:num w:numId="14">
    <w:abstractNumId w:val="19"/>
  </w:num>
  <w:num w:numId="15">
    <w:abstractNumId w:val="2"/>
  </w:num>
  <w:num w:numId="16">
    <w:abstractNumId w:val="16"/>
  </w:num>
  <w:num w:numId="17">
    <w:abstractNumId w:val="10"/>
  </w:num>
  <w:num w:numId="18">
    <w:abstractNumId w:val="17"/>
  </w:num>
  <w:num w:numId="19">
    <w:abstractNumId w:val="36"/>
  </w:num>
  <w:num w:numId="20">
    <w:abstractNumId w:val="39"/>
  </w:num>
  <w:num w:numId="21">
    <w:abstractNumId w:val="20"/>
  </w:num>
  <w:num w:numId="22">
    <w:abstractNumId w:val="38"/>
  </w:num>
  <w:num w:numId="23">
    <w:abstractNumId w:val="32"/>
  </w:num>
  <w:num w:numId="24">
    <w:abstractNumId w:val="40"/>
  </w:num>
  <w:num w:numId="25">
    <w:abstractNumId w:val="11"/>
  </w:num>
  <w:num w:numId="26">
    <w:abstractNumId w:val="42"/>
  </w:num>
  <w:num w:numId="27">
    <w:abstractNumId w:val="25"/>
  </w:num>
  <w:num w:numId="28">
    <w:abstractNumId w:val="24"/>
  </w:num>
  <w:num w:numId="29">
    <w:abstractNumId w:val="21"/>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7"/>
  </w:num>
  <w:num w:numId="34">
    <w:abstractNumId w:val="26"/>
  </w:num>
  <w:num w:numId="35">
    <w:abstractNumId w:val="43"/>
  </w:num>
  <w:num w:numId="36">
    <w:abstractNumId w:val="22"/>
  </w:num>
  <w:num w:numId="37">
    <w:abstractNumId w:val="13"/>
  </w:num>
  <w:num w:numId="38">
    <w:abstractNumId w:val="35"/>
  </w:num>
  <w:num w:numId="39">
    <w:abstractNumId w:val="29"/>
  </w:num>
  <w:num w:numId="40">
    <w:abstractNumId w:val="41"/>
  </w:num>
  <w:num w:numId="41">
    <w:abstractNumId w:val="34"/>
  </w:num>
  <w:num w:numId="42">
    <w:abstractNumId w:val="9"/>
  </w:num>
  <w:num w:numId="43">
    <w:abstractNumId w:val="33"/>
  </w:num>
  <w:num w:numId="44">
    <w:abstractNumId w:val="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FD"/>
    <w:rsid w:val="00001096"/>
    <w:rsid w:val="000010DD"/>
    <w:rsid w:val="000039E1"/>
    <w:rsid w:val="00004B0A"/>
    <w:rsid w:val="00007073"/>
    <w:rsid w:val="0001572B"/>
    <w:rsid w:val="00015BA4"/>
    <w:rsid w:val="000178D8"/>
    <w:rsid w:val="000206BE"/>
    <w:rsid w:val="00020B19"/>
    <w:rsid w:val="000271FE"/>
    <w:rsid w:val="00027570"/>
    <w:rsid w:val="00027910"/>
    <w:rsid w:val="00027EFA"/>
    <w:rsid w:val="0003029E"/>
    <w:rsid w:val="0003172E"/>
    <w:rsid w:val="00031913"/>
    <w:rsid w:val="0003316D"/>
    <w:rsid w:val="0003388D"/>
    <w:rsid w:val="00034A3F"/>
    <w:rsid w:val="00034C32"/>
    <w:rsid w:val="000361C9"/>
    <w:rsid w:val="0004183E"/>
    <w:rsid w:val="00042385"/>
    <w:rsid w:val="00043592"/>
    <w:rsid w:val="000440E2"/>
    <w:rsid w:val="0004475B"/>
    <w:rsid w:val="00044F1A"/>
    <w:rsid w:val="000454EB"/>
    <w:rsid w:val="0005163F"/>
    <w:rsid w:val="00052105"/>
    <w:rsid w:val="00053785"/>
    <w:rsid w:val="000539C2"/>
    <w:rsid w:val="00053FA9"/>
    <w:rsid w:val="000568ED"/>
    <w:rsid w:val="00056A11"/>
    <w:rsid w:val="00057A7E"/>
    <w:rsid w:val="000600C0"/>
    <w:rsid w:val="00060829"/>
    <w:rsid w:val="00061297"/>
    <w:rsid w:val="0006159B"/>
    <w:rsid w:val="0006242F"/>
    <w:rsid w:val="0006450D"/>
    <w:rsid w:val="00065DBE"/>
    <w:rsid w:val="00065EE5"/>
    <w:rsid w:val="00070CF3"/>
    <w:rsid w:val="000711E9"/>
    <w:rsid w:val="00072863"/>
    <w:rsid w:val="00075681"/>
    <w:rsid w:val="00082964"/>
    <w:rsid w:val="0008302D"/>
    <w:rsid w:val="000831A5"/>
    <w:rsid w:val="000854B4"/>
    <w:rsid w:val="00086A90"/>
    <w:rsid w:val="000916F7"/>
    <w:rsid w:val="00091F94"/>
    <w:rsid w:val="000920CF"/>
    <w:rsid w:val="00093435"/>
    <w:rsid w:val="00095EA4"/>
    <w:rsid w:val="000966D8"/>
    <w:rsid w:val="00096AF7"/>
    <w:rsid w:val="000A09E2"/>
    <w:rsid w:val="000A147C"/>
    <w:rsid w:val="000A160C"/>
    <w:rsid w:val="000A2F34"/>
    <w:rsid w:val="000A4AEE"/>
    <w:rsid w:val="000A72E2"/>
    <w:rsid w:val="000B07F1"/>
    <w:rsid w:val="000B12CD"/>
    <w:rsid w:val="000B1B12"/>
    <w:rsid w:val="000B3851"/>
    <w:rsid w:val="000B3DDE"/>
    <w:rsid w:val="000B4B20"/>
    <w:rsid w:val="000B4D3D"/>
    <w:rsid w:val="000B5C3A"/>
    <w:rsid w:val="000B7C19"/>
    <w:rsid w:val="000C21CC"/>
    <w:rsid w:val="000C2335"/>
    <w:rsid w:val="000C5240"/>
    <w:rsid w:val="000C527B"/>
    <w:rsid w:val="000C5E0D"/>
    <w:rsid w:val="000C6C14"/>
    <w:rsid w:val="000C6D6F"/>
    <w:rsid w:val="000C738B"/>
    <w:rsid w:val="000C7F48"/>
    <w:rsid w:val="000C7FC0"/>
    <w:rsid w:val="000D0112"/>
    <w:rsid w:val="000D4E48"/>
    <w:rsid w:val="000D65AC"/>
    <w:rsid w:val="000D6BE7"/>
    <w:rsid w:val="000E06BA"/>
    <w:rsid w:val="000E3836"/>
    <w:rsid w:val="000E398E"/>
    <w:rsid w:val="000E50CE"/>
    <w:rsid w:val="000E51E3"/>
    <w:rsid w:val="000E7B57"/>
    <w:rsid w:val="000F1078"/>
    <w:rsid w:val="000F1610"/>
    <w:rsid w:val="000F2662"/>
    <w:rsid w:val="000F28D9"/>
    <w:rsid w:val="000F376C"/>
    <w:rsid w:val="000F73B0"/>
    <w:rsid w:val="00101A84"/>
    <w:rsid w:val="00104718"/>
    <w:rsid w:val="00105219"/>
    <w:rsid w:val="001059F0"/>
    <w:rsid w:val="00105F3C"/>
    <w:rsid w:val="001113AA"/>
    <w:rsid w:val="00113B83"/>
    <w:rsid w:val="00115DA2"/>
    <w:rsid w:val="0011623D"/>
    <w:rsid w:val="001167DC"/>
    <w:rsid w:val="0011688F"/>
    <w:rsid w:val="00120D4E"/>
    <w:rsid w:val="00123F59"/>
    <w:rsid w:val="001259C1"/>
    <w:rsid w:val="00125DD1"/>
    <w:rsid w:val="00125E74"/>
    <w:rsid w:val="001324A6"/>
    <w:rsid w:val="001334FE"/>
    <w:rsid w:val="00134B23"/>
    <w:rsid w:val="00136613"/>
    <w:rsid w:val="001400AD"/>
    <w:rsid w:val="00141398"/>
    <w:rsid w:val="00150AA7"/>
    <w:rsid w:val="001525D5"/>
    <w:rsid w:val="00153AC4"/>
    <w:rsid w:val="00154593"/>
    <w:rsid w:val="00155298"/>
    <w:rsid w:val="0015609D"/>
    <w:rsid w:val="00156611"/>
    <w:rsid w:val="00157EDE"/>
    <w:rsid w:val="00160CE0"/>
    <w:rsid w:val="00163516"/>
    <w:rsid w:val="00172228"/>
    <w:rsid w:val="00172608"/>
    <w:rsid w:val="00175534"/>
    <w:rsid w:val="001766C9"/>
    <w:rsid w:val="00177C90"/>
    <w:rsid w:val="00183106"/>
    <w:rsid w:val="0018363F"/>
    <w:rsid w:val="0018377E"/>
    <w:rsid w:val="00187B9F"/>
    <w:rsid w:val="00190833"/>
    <w:rsid w:val="001925DD"/>
    <w:rsid w:val="00192B57"/>
    <w:rsid w:val="00193B64"/>
    <w:rsid w:val="00195613"/>
    <w:rsid w:val="00195C0B"/>
    <w:rsid w:val="0019699C"/>
    <w:rsid w:val="00197632"/>
    <w:rsid w:val="00197A67"/>
    <w:rsid w:val="001A0E04"/>
    <w:rsid w:val="001A10A2"/>
    <w:rsid w:val="001A1EF4"/>
    <w:rsid w:val="001A39E1"/>
    <w:rsid w:val="001A528B"/>
    <w:rsid w:val="001A5D0A"/>
    <w:rsid w:val="001A6178"/>
    <w:rsid w:val="001A64B3"/>
    <w:rsid w:val="001A6A4E"/>
    <w:rsid w:val="001A7A02"/>
    <w:rsid w:val="001B2288"/>
    <w:rsid w:val="001B6A06"/>
    <w:rsid w:val="001C0CE0"/>
    <w:rsid w:val="001C3322"/>
    <w:rsid w:val="001C79A8"/>
    <w:rsid w:val="001D1548"/>
    <w:rsid w:val="001D16D3"/>
    <w:rsid w:val="001D2382"/>
    <w:rsid w:val="001D337F"/>
    <w:rsid w:val="001D3E23"/>
    <w:rsid w:val="001D6969"/>
    <w:rsid w:val="001E3173"/>
    <w:rsid w:val="001E74AC"/>
    <w:rsid w:val="001E7B04"/>
    <w:rsid w:val="001F07B8"/>
    <w:rsid w:val="001F1162"/>
    <w:rsid w:val="001F78A6"/>
    <w:rsid w:val="002009CD"/>
    <w:rsid w:val="00201689"/>
    <w:rsid w:val="00202111"/>
    <w:rsid w:val="0020296A"/>
    <w:rsid w:val="00202CA0"/>
    <w:rsid w:val="00202F61"/>
    <w:rsid w:val="00204198"/>
    <w:rsid w:val="00205D3F"/>
    <w:rsid w:val="00206A53"/>
    <w:rsid w:val="00211A58"/>
    <w:rsid w:val="0021232A"/>
    <w:rsid w:val="0021534C"/>
    <w:rsid w:val="00215D48"/>
    <w:rsid w:val="0021771B"/>
    <w:rsid w:val="0022479F"/>
    <w:rsid w:val="00226084"/>
    <w:rsid w:val="00226A3E"/>
    <w:rsid w:val="002270CF"/>
    <w:rsid w:val="00231B5A"/>
    <w:rsid w:val="00232DA7"/>
    <w:rsid w:val="00236937"/>
    <w:rsid w:val="002373A3"/>
    <w:rsid w:val="002410DF"/>
    <w:rsid w:val="00243515"/>
    <w:rsid w:val="002438B9"/>
    <w:rsid w:val="00244EA8"/>
    <w:rsid w:val="002451BE"/>
    <w:rsid w:val="00246165"/>
    <w:rsid w:val="002469CD"/>
    <w:rsid w:val="002476F6"/>
    <w:rsid w:val="00252E7C"/>
    <w:rsid w:val="0025439A"/>
    <w:rsid w:val="002610AF"/>
    <w:rsid w:val="002635E2"/>
    <w:rsid w:val="002636A6"/>
    <w:rsid w:val="00263807"/>
    <w:rsid w:val="00265C2C"/>
    <w:rsid w:val="00270110"/>
    <w:rsid w:val="0027069E"/>
    <w:rsid w:val="0027138F"/>
    <w:rsid w:val="00272A24"/>
    <w:rsid w:val="002746D5"/>
    <w:rsid w:val="002761CC"/>
    <w:rsid w:val="00276A8D"/>
    <w:rsid w:val="002778DA"/>
    <w:rsid w:val="002805F1"/>
    <w:rsid w:val="002917CB"/>
    <w:rsid w:val="00291B75"/>
    <w:rsid w:val="002952B9"/>
    <w:rsid w:val="002A0014"/>
    <w:rsid w:val="002A0D4B"/>
    <w:rsid w:val="002A24CC"/>
    <w:rsid w:val="002A2A95"/>
    <w:rsid w:val="002A75A1"/>
    <w:rsid w:val="002A7840"/>
    <w:rsid w:val="002A7C60"/>
    <w:rsid w:val="002B1A9D"/>
    <w:rsid w:val="002B1CBF"/>
    <w:rsid w:val="002B1FE3"/>
    <w:rsid w:val="002B26B7"/>
    <w:rsid w:val="002B3C1B"/>
    <w:rsid w:val="002C01DC"/>
    <w:rsid w:val="002C0E82"/>
    <w:rsid w:val="002C109A"/>
    <w:rsid w:val="002C1AF7"/>
    <w:rsid w:val="002C1D0F"/>
    <w:rsid w:val="002C3ACE"/>
    <w:rsid w:val="002C3AF4"/>
    <w:rsid w:val="002C4B70"/>
    <w:rsid w:val="002C52D4"/>
    <w:rsid w:val="002C7963"/>
    <w:rsid w:val="002D015C"/>
    <w:rsid w:val="002D02A2"/>
    <w:rsid w:val="002D17D3"/>
    <w:rsid w:val="002D23EF"/>
    <w:rsid w:val="002D2ED3"/>
    <w:rsid w:val="002D76F4"/>
    <w:rsid w:val="002E15D0"/>
    <w:rsid w:val="002E246F"/>
    <w:rsid w:val="002E30CD"/>
    <w:rsid w:val="002E331D"/>
    <w:rsid w:val="002E3E1A"/>
    <w:rsid w:val="002E45C5"/>
    <w:rsid w:val="002F1B77"/>
    <w:rsid w:val="002F4459"/>
    <w:rsid w:val="002F5383"/>
    <w:rsid w:val="002F7818"/>
    <w:rsid w:val="00301264"/>
    <w:rsid w:val="00306A43"/>
    <w:rsid w:val="00306E66"/>
    <w:rsid w:val="003121E0"/>
    <w:rsid w:val="0031362B"/>
    <w:rsid w:val="003203FC"/>
    <w:rsid w:val="00320F11"/>
    <w:rsid w:val="0032101D"/>
    <w:rsid w:val="00321FE4"/>
    <w:rsid w:val="0032260E"/>
    <w:rsid w:val="003234DF"/>
    <w:rsid w:val="00325CEE"/>
    <w:rsid w:val="003267B2"/>
    <w:rsid w:val="00326A85"/>
    <w:rsid w:val="003307DE"/>
    <w:rsid w:val="00330931"/>
    <w:rsid w:val="00331586"/>
    <w:rsid w:val="00334CC1"/>
    <w:rsid w:val="003355AD"/>
    <w:rsid w:val="003379A2"/>
    <w:rsid w:val="003405E0"/>
    <w:rsid w:val="00343B1E"/>
    <w:rsid w:val="00343B56"/>
    <w:rsid w:val="003440E5"/>
    <w:rsid w:val="003445D9"/>
    <w:rsid w:val="003459A9"/>
    <w:rsid w:val="00346537"/>
    <w:rsid w:val="003473A9"/>
    <w:rsid w:val="003474F0"/>
    <w:rsid w:val="00350938"/>
    <w:rsid w:val="003512B0"/>
    <w:rsid w:val="003528DF"/>
    <w:rsid w:val="00352CE1"/>
    <w:rsid w:val="00353C32"/>
    <w:rsid w:val="00354781"/>
    <w:rsid w:val="003615EB"/>
    <w:rsid w:val="003624BF"/>
    <w:rsid w:val="003715D4"/>
    <w:rsid w:val="00371BC8"/>
    <w:rsid w:val="00371EE4"/>
    <w:rsid w:val="0037338C"/>
    <w:rsid w:val="003741D6"/>
    <w:rsid w:val="00375521"/>
    <w:rsid w:val="00375C54"/>
    <w:rsid w:val="003761A5"/>
    <w:rsid w:val="00377142"/>
    <w:rsid w:val="00380059"/>
    <w:rsid w:val="00380B1A"/>
    <w:rsid w:val="00380ED3"/>
    <w:rsid w:val="00381685"/>
    <w:rsid w:val="00381BDE"/>
    <w:rsid w:val="00382F6D"/>
    <w:rsid w:val="003835C7"/>
    <w:rsid w:val="003845AE"/>
    <w:rsid w:val="00384FBD"/>
    <w:rsid w:val="00387EFB"/>
    <w:rsid w:val="003905F7"/>
    <w:rsid w:val="00391DEE"/>
    <w:rsid w:val="00393EF7"/>
    <w:rsid w:val="00394DD8"/>
    <w:rsid w:val="003969E9"/>
    <w:rsid w:val="003A01EC"/>
    <w:rsid w:val="003A0281"/>
    <w:rsid w:val="003A29F7"/>
    <w:rsid w:val="003A456C"/>
    <w:rsid w:val="003A53DC"/>
    <w:rsid w:val="003B161A"/>
    <w:rsid w:val="003B3300"/>
    <w:rsid w:val="003B335C"/>
    <w:rsid w:val="003B3C18"/>
    <w:rsid w:val="003B3E3B"/>
    <w:rsid w:val="003B5622"/>
    <w:rsid w:val="003B65A7"/>
    <w:rsid w:val="003B6B1A"/>
    <w:rsid w:val="003B74D4"/>
    <w:rsid w:val="003C0395"/>
    <w:rsid w:val="003C19E3"/>
    <w:rsid w:val="003C3FF5"/>
    <w:rsid w:val="003C4B9D"/>
    <w:rsid w:val="003C5510"/>
    <w:rsid w:val="003C5CFC"/>
    <w:rsid w:val="003C66A3"/>
    <w:rsid w:val="003C75C0"/>
    <w:rsid w:val="003D04DE"/>
    <w:rsid w:val="003D1AA7"/>
    <w:rsid w:val="003D2CAA"/>
    <w:rsid w:val="003D3FA5"/>
    <w:rsid w:val="003D5B31"/>
    <w:rsid w:val="003E3FC8"/>
    <w:rsid w:val="003E465C"/>
    <w:rsid w:val="003E6842"/>
    <w:rsid w:val="003E7AE4"/>
    <w:rsid w:val="003F09AC"/>
    <w:rsid w:val="003F1894"/>
    <w:rsid w:val="003F18CE"/>
    <w:rsid w:val="003F30EB"/>
    <w:rsid w:val="003F429F"/>
    <w:rsid w:val="003F5402"/>
    <w:rsid w:val="003F5716"/>
    <w:rsid w:val="003F7458"/>
    <w:rsid w:val="00400898"/>
    <w:rsid w:val="00402D0B"/>
    <w:rsid w:val="00402FB4"/>
    <w:rsid w:val="00405BE4"/>
    <w:rsid w:val="0040605F"/>
    <w:rsid w:val="004065D1"/>
    <w:rsid w:val="0041281B"/>
    <w:rsid w:val="00414B2C"/>
    <w:rsid w:val="00414E39"/>
    <w:rsid w:val="004157EF"/>
    <w:rsid w:val="00415D12"/>
    <w:rsid w:val="004171C9"/>
    <w:rsid w:val="00417D8C"/>
    <w:rsid w:val="004206F9"/>
    <w:rsid w:val="00421923"/>
    <w:rsid w:val="00424451"/>
    <w:rsid w:val="00424CC3"/>
    <w:rsid w:val="004256CD"/>
    <w:rsid w:val="00425848"/>
    <w:rsid w:val="004259C0"/>
    <w:rsid w:val="00432B1E"/>
    <w:rsid w:val="004334E3"/>
    <w:rsid w:val="00437947"/>
    <w:rsid w:val="00440AF0"/>
    <w:rsid w:val="00442F52"/>
    <w:rsid w:val="004431C0"/>
    <w:rsid w:val="00445787"/>
    <w:rsid w:val="00445C4A"/>
    <w:rsid w:val="004464F3"/>
    <w:rsid w:val="00450C5A"/>
    <w:rsid w:val="00453A47"/>
    <w:rsid w:val="004553CA"/>
    <w:rsid w:val="00461077"/>
    <w:rsid w:val="0046573E"/>
    <w:rsid w:val="00466962"/>
    <w:rsid w:val="00472989"/>
    <w:rsid w:val="00473A2E"/>
    <w:rsid w:val="004741DB"/>
    <w:rsid w:val="0047498B"/>
    <w:rsid w:val="0047625F"/>
    <w:rsid w:val="0047704E"/>
    <w:rsid w:val="00480328"/>
    <w:rsid w:val="00481584"/>
    <w:rsid w:val="00484784"/>
    <w:rsid w:val="00484E1C"/>
    <w:rsid w:val="00485017"/>
    <w:rsid w:val="00486964"/>
    <w:rsid w:val="00490073"/>
    <w:rsid w:val="004900B7"/>
    <w:rsid w:val="00494FDE"/>
    <w:rsid w:val="0049589F"/>
    <w:rsid w:val="00496096"/>
    <w:rsid w:val="0049645B"/>
    <w:rsid w:val="004A0151"/>
    <w:rsid w:val="004A0C61"/>
    <w:rsid w:val="004A0DDB"/>
    <w:rsid w:val="004A0F11"/>
    <w:rsid w:val="004A11BF"/>
    <w:rsid w:val="004A21F2"/>
    <w:rsid w:val="004A424E"/>
    <w:rsid w:val="004A5BCF"/>
    <w:rsid w:val="004A7591"/>
    <w:rsid w:val="004A767F"/>
    <w:rsid w:val="004B0107"/>
    <w:rsid w:val="004B15D7"/>
    <w:rsid w:val="004B3900"/>
    <w:rsid w:val="004B5BD1"/>
    <w:rsid w:val="004C02D9"/>
    <w:rsid w:val="004C3138"/>
    <w:rsid w:val="004C5273"/>
    <w:rsid w:val="004C5CEA"/>
    <w:rsid w:val="004D13F2"/>
    <w:rsid w:val="004D3DC7"/>
    <w:rsid w:val="004D7E8E"/>
    <w:rsid w:val="004E048D"/>
    <w:rsid w:val="004E11E0"/>
    <w:rsid w:val="004E3019"/>
    <w:rsid w:val="004E4442"/>
    <w:rsid w:val="004E4810"/>
    <w:rsid w:val="004E4D4E"/>
    <w:rsid w:val="004E51FA"/>
    <w:rsid w:val="004F03C3"/>
    <w:rsid w:val="004F11F6"/>
    <w:rsid w:val="004F2746"/>
    <w:rsid w:val="004F587D"/>
    <w:rsid w:val="004F604C"/>
    <w:rsid w:val="004F642A"/>
    <w:rsid w:val="004F7A03"/>
    <w:rsid w:val="00504DB7"/>
    <w:rsid w:val="00504E9F"/>
    <w:rsid w:val="005076E7"/>
    <w:rsid w:val="00512503"/>
    <w:rsid w:val="005127EE"/>
    <w:rsid w:val="00512828"/>
    <w:rsid w:val="00512FAD"/>
    <w:rsid w:val="0051310B"/>
    <w:rsid w:val="00514D01"/>
    <w:rsid w:val="00516C19"/>
    <w:rsid w:val="00517C45"/>
    <w:rsid w:val="00520DCD"/>
    <w:rsid w:val="00527A37"/>
    <w:rsid w:val="0053204E"/>
    <w:rsid w:val="00532AAF"/>
    <w:rsid w:val="00534383"/>
    <w:rsid w:val="00536008"/>
    <w:rsid w:val="0053770E"/>
    <w:rsid w:val="00537FFA"/>
    <w:rsid w:val="00542C16"/>
    <w:rsid w:val="0054477F"/>
    <w:rsid w:val="0054582E"/>
    <w:rsid w:val="0054726E"/>
    <w:rsid w:val="0054788E"/>
    <w:rsid w:val="005479BB"/>
    <w:rsid w:val="0055123F"/>
    <w:rsid w:val="00552256"/>
    <w:rsid w:val="00552A63"/>
    <w:rsid w:val="00556E03"/>
    <w:rsid w:val="005571FB"/>
    <w:rsid w:val="005617FE"/>
    <w:rsid w:val="0056228B"/>
    <w:rsid w:val="00563BE6"/>
    <w:rsid w:val="00565381"/>
    <w:rsid w:val="00566766"/>
    <w:rsid w:val="00567B30"/>
    <w:rsid w:val="005711ED"/>
    <w:rsid w:val="005748AF"/>
    <w:rsid w:val="00575397"/>
    <w:rsid w:val="0057610C"/>
    <w:rsid w:val="0057701E"/>
    <w:rsid w:val="00577588"/>
    <w:rsid w:val="005803DC"/>
    <w:rsid w:val="00581378"/>
    <w:rsid w:val="0058336B"/>
    <w:rsid w:val="005843B4"/>
    <w:rsid w:val="005855EF"/>
    <w:rsid w:val="00591FD6"/>
    <w:rsid w:val="005925C2"/>
    <w:rsid w:val="005948E9"/>
    <w:rsid w:val="0059540F"/>
    <w:rsid w:val="005966DD"/>
    <w:rsid w:val="005973BB"/>
    <w:rsid w:val="005973F0"/>
    <w:rsid w:val="005A18C2"/>
    <w:rsid w:val="005A256E"/>
    <w:rsid w:val="005A2595"/>
    <w:rsid w:val="005A4655"/>
    <w:rsid w:val="005A6534"/>
    <w:rsid w:val="005B1791"/>
    <w:rsid w:val="005B3541"/>
    <w:rsid w:val="005B3F9E"/>
    <w:rsid w:val="005B7D1F"/>
    <w:rsid w:val="005C0662"/>
    <w:rsid w:val="005C131A"/>
    <w:rsid w:val="005C2D39"/>
    <w:rsid w:val="005C332F"/>
    <w:rsid w:val="005C3A18"/>
    <w:rsid w:val="005C4A9D"/>
    <w:rsid w:val="005C5174"/>
    <w:rsid w:val="005C5554"/>
    <w:rsid w:val="005C5B3B"/>
    <w:rsid w:val="005C653B"/>
    <w:rsid w:val="005C6E6A"/>
    <w:rsid w:val="005C7A5F"/>
    <w:rsid w:val="005D0F40"/>
    <w:rsid w:val="005D16AF"/>
    <w:rsid w:val="005D2D23"/>
    <w:rsid w:val="005D3CFF"/>
    <w:rsid w:val="005D41D4"/>
    <w:rsid w:val="005D4FA0"/>
    <w:rsid w:val="005D5084"/>
    <w:rsid w:val="005D714A"/>
    <w:rsid w:val="005D7B7E"/>
    <w:rsid w:val="005E0974"/>
    <w:rsid w:val="005E13A7"/>
    <w:rsid w:val="005E2732"/>
    <w:rsid w:val="005E2FDF"/>
    <w:rsid w:val="005E4C8C"/>
    <w:rsid w:val="005E5B97"/>
    <w:rsid w:val="005E6044"/>
    <w:rsid w:val="005E76F1"/>
    <w:rsid w:val="005F0274"/>
    <w:rsid w:val="005F3279"/>
    <w:rsid w:val="005F4E2F"/>
    <w:rsid w:val="005F68CF"/>
    <w:rsid w:val="00600A85"/>
    <w:rsid w:val="00605EE9"/>
    <w:rsid w:val="00610031"/>
    <w:rsid w:val="00610A37"/>
    <w:rsid w:val="00611A1B"/>
    <w:rsid w:val="00611F02"/>
    <w:rsid w:val="00613275"/>
    <w:rsid w:val="0061415D"/>
    <w:rsid w:val="0061543A"/>
    <w:rsid w:val="00616774"/>
    <w:rsid w:val="006201ED"/>
    <w:rsid w:val="00620215"/>
    <w:rsid w:val="00622635"/>
    <w:rsid w:val="00622711"/>
    <w:rsid w:val="00622CC4"/>
    <w:rsid w:val="0062640D"/>
    <w:rsid w:val="00626AA7"/>
    <w:rsid w:val="00627A73"/>
    <w:rsid w:val="00630493"/>
    <w:rsid w:val="00630E4B"/>
    <w:rsid w:val="00631BA9"/>
    <w:rsid w:val="00633686"/>
    <w:rsid w:val="00636BBF"/>
    <w:rsid w:val="00637605"/>
    <w:rsid w:val="006378FC"/>
    <w:rsid w:val="00637B78"/>
    <w:rsid w:val="0064108E"/>
    <w:rsid w:val="006411A6"/>
    <w:rsid w:val="00642700"/>
    <w:rsid w:val="00643D34"/>
    <w:rsid w:val="0064693E"/>
    <w:rsid w:val="00646BC8"/>
    <w:rsid w:val="00646D43"/>
    <w:rsid w:val="00650EB8"/>
    <w:rsid w:val="00652F08"/>
    <w:rsid w:val="006546A2"/>
    <w:rsid w:val="00656C0A"/>
    <w:rsid w:val="006570FF"/>
    <w:rsid w:val="00657ADD"/>
    <w:rsid w:val="00660D3A"/>
    <w:rsid w:val="006623BC"/>
    <w:rsid w:val="006623E9"/>
    <w:rsid w:val="00664902"/>
    <w:rsid w:val="0066512B"/>
    <w:rsid w:val="0067039F"/>
    <w:rsid w:val="00670440"/>
    <w:rsid w:val="00670532"/>
    <w:rsid w:val="0067129E"/>
    <w:rsid w:val="00673B53"/>
    <w:rsid w:val="00673B6F"/>
    <w:rsid w:val="00677170"/>
    <w:rsid w:val="00681461"/>
    <w:rsid w:val="00682008"/>
    <w:rsid w:val="00682752"/>
    <w:rsid w:val="00683AD2"/>
    <w:rsid w:val="006861F0"/>
    <w:rsid w:val="00686FEC"/>
    <w:rsid w:val="006877BA"/>
    <w:rsid w:val="0069007F"/>
    <w:rsid w:val="00690BB9"/>
    <w:rsid w:val="006917AC"/>
    <w:rsid w:val="00691FDE"/>
    <w:rsid w:val="00696850"/>
    <w:rsid w:val="006968EF"/>
    <w:rsid w:val="006A0ED9"/>
    <w:rsid w:val="006A273F"/>
    <w:rsid w:val="006A5BC8"/>
    <w:rsid w:val="006A609D"/>
    <w:rsid w:val="006B029A"/>
    <w:rsid w:val="006B0DAE"/>
    <w:rsid w:val="006B0E1E"/>
    <w:rsid w:val="006B1973"/>
    <w:rsid w:val="006B28C8"/>
    <w:rsid w:val="006B2EAA"/>
    <w:rsid w:val="006B40BF"/>
    <w:rsid w:val="006B4105"/>
    <w:rsid w:val="006B5650"/>
    <w:rsid w:val="006B60B2"/>
    <w:rsid w:val="006B75B8"/>
    <w:rsid w:val="006C0B55"/>
    <w:rsid w:val="006C1DFB"/>
    <w:rsid w:val="006C336C"/>
    <w:rsid w:val="006C3972"/>
    <w:rsid w:val="006D35E3"/>
    <w:rsid w:val="006D360A"/>
    <w:rsid w:val="006D68DE"/>
    <w:rsid w:val="006E167A"/>
    <w:rsid w:val="006E1918"/>
    <w:rsid w:val="006E21C4"/>
    <w:rsid w:val="006F361A"/>
    <w:rsid w:val="006F36BC"/>
    <w:rsid w:val="006F427B"/>
    <w:rsid w:val="006F464A"/>
    <w:rsid w:val="006F469C"/>
    <w:rsid w:val="006F68F0"/>
    <w:rsid w:val="006F6C3E"/>
    <w:rsid w:val="007030D0"/>
    <w:rsid w:val="00703183"/>
    <w:rsid w:val="0070528A"/>
    <w:rsid w:val="0070623A"/>
    <w:rsid w:val="007075DB"/>
    <w:rsid w:val="00710D34"/>
    <w:rsid w:val="00712825"/>
    <w:rsid w:val="0071316C"/>
    <w:rsid w:val="00714855"/>
    <w:rsid w:val="00715806"/>
    <w:rsid w:val="00717EE7"/>
    <w:rsid w:val="00722316"/>
    <w:rsid w:val="00724C64"/>
    <w:rsid w:val="0072528A"/>
    <w:rsid w:val="0072773A"/>
    <w:rsid w:val="0073073B"/>
    <w:rsid w:val="00730F9C"/>
    <w:rsid w:val="0073118B"/>
    <w:rsid w:val="00731FCA"/>
    <w:rsid w:val="00734876"/>
    <w:rsid w:val="00734DA3"/>
    <w:rsid w:val="00734F04"/>
    <w:rsid w:val="00735EC5"/>
    <w:rsid w:val="0073605B"/>
    <w:rsid w:val="007361B9"/>
    <w:rsid w:val="0073705B"/>
    <w:rsid w:val="00740197"/>
    <w:rsid w:val="00741B1E"/>
    <w:rsid w:val="00741CC2"/>
    <w:rsid w:val="00743713"/>
    <w:rsid w:val="00744181"/>
    <w:rsid w:val="00745871"/>
    <w:rsid w:val="00747486"/>
    <w:rsid w:val="00747FD5"/>
    <w:rsid w:val="00750631"/>
    <w:rsid w:val="007531C3"/>
    <w:rsid w:val="00756D32"/>
    <w:rsid w:val="00756EB2"/>
    <w:rsid w:val="007603AD"/>
    <w:rsid w:val="00761E66"/>
    <w:rsid w:val="00761F78"/>
    <w:rsid w:val="007628C0"/>
    <w:rsid w:val="00762B0D"/>
    <w:rsid w:val="00762BF2"/>
    <w:rsid w:val="00763367"/>
    <w:rsid w:val="007642A4"/>
    <w:rsid w:val="00765AFB"/>
    <w:rsid w:val="00765E69"/>
    <w:rsid w:val="00766790"/>
    <w:rsid w:val="0076749F"/>
    <w:rsid w:val="00767D34"/>
    <w:rsid w:val="00771960"/>
    <w:rsid w:val="00773C36"/>
    <w:rsid w:val="00773E2D"/>
    <w:rsid w:val="00773F0C"/>
    <w:rsid w:val="00780BDC"/>
    <w:rsid w:val="00781584"/>
    <w:rsid w:val="00781711"/>
    <w:rsid w:val="00781F4D"/>
    <w:rsid w:val="0078359E"/>
    <w:rsid w:val="00783644"/>
    <w:rsid w:val="00785282"/>
    <w:rsid w:val="007862B4"/>
    <w:rsid w:val="0078682A"/>
    <w:rsid w:val="00792038"/>
    <w:rsid w:val="007950BB"/>
    <w:rsid w:val="007953C5"/>
    <w:rsid w:val="007A19FE"/>
    <w:rsid w:val="007A294D"/>
    <w:rsid w:val="007A2B80"/>
    <w:rsid w:val="007A6434"/>
    <w:rsid w:val="007A7505"/>
    <w:rsid w:val="007B2B93"/>
    <w:rsid w:val="007B3452"/>
    <w:rsid w:val="007B6289"/>
    <w:rsid w:val="007B6F35"/>
    <w:rsid w:val="007C02C0"/>
    <w:rsid w:val="007C0A42"/>
    <w:rsid w:val="007C1562"/>
    <w:rsid w:val="007C2AA4"/>
    <w:rsid w:val="007C3C52"/>
    <w:rsid w:val="007C3EFA"/>
    <w:rsid w:val="007C4603"/>
    <w:rsid w:val="007C5FEB"/>
    <w:rsid w:val="007C7AE1"/>
    <w:rsid w:val="007D2199"/>
    <w:rsid w:val="007D5144"/>
    <w:rsid w:val="007D74B8"/>
    <w:rsid w:val="007E096B"/>
    <w:rsid w:val="007E17A0"/>
    <w:rsid w:val="007E1F14"/>
    <w:rsid w:val="007E3192"/>
    <w:rsid w:val="007E5075"/>
    <w:rsid w:val="007E6B8E"/>
    <w:rsid w:val="007E6F3B"/>
    <w:rsid w:val="007E7B8A"/>
    <w:rsid w:val="007E7F4A"/>
    <w:rsid w:val="007F0B9D"/>
    <w:rsid w:val="007F1A93"/>
    <w:rsid w:val="007F221C"/>
    <w:rsid w:val="007F423E"/>
    <w:rsid w:val="008003CA"/>
    <w:rsid w:val="00800A70"/>
    <w:rsid w:val="0080111A"/>
    <w:rsid w:val="00801944"/>
    <w:rsid w:val="00805B47"/>
    <w:rsid w:val="00806946"/>
    <w:rsid w:val="0080761C"/>
    <w:rsid w:val="00810169"/>
    <w:rsid w:val="0081149A"/>
    <w:rsid w:val="00811DBF"/>
    <w:rsid w:val="00811FF4"/>
    <w:rsid w:val="0081318A"/>
    <w:rsid w:val="008131FA"/>
    <w:rsid w:val="00813461"/>
    <w:rsid w:val="0081361C"/>
    <w:rsid w:val="008147FC"/>
    <w:rsid w:val="00816936"/>
    <w:rsid w:val="00816F3B"/>
    <w:rsid w:val="0082070D"/>
    <w:rsid w:val="00820D91"/>
    <w:rsid w:val="00822B9E"/>
    <w:rsid w:val="008253D3"/>
    <w:rsid w:val="00827815"/>
    <w:rsid w:val="00831720"/>
    <w:rsid w:val="00831F7B"/>
    <w:rsid w:val="008342C5"/>
    <w:rsid w:val="008351BF"/>
    <w:rsid w:val="00835891"/>
    <w:rsid w:val="00835B3C"/>
    <w:rsid w:val="00836033"/>
    <w:rsid w:val="008361C8"/>
    <w:rsid w:val="008439B7"/>
    <w:rsid w:val="00846168"/>
    <w:rsid w:val="00847449"/>
    <w:rsid w:val="00847677"/>
    <w:rsid w:val="0085288D"/>
    <w:rsid w:val="00852F4D"/>
    <w:rsid w:val="00853653"/>
    <w:rsid w:val="00854445"/>
    <w:rsid w:val="0085444D"/>
    <w:rsid w:val="00855292"/>
    <w:rsid w:val="00857334"/>
    <w:rsid w:val="00860591"/>
    <w:rsid w:val="00861529"/>
    <w:rsid w:val="008653F9"/>
    <w:rsid w:val="00865F2F"/>
    <w:rsid w:val="00866D95"/>
    <w:rsid w:val="0087040D"/>
    <w:rsid w:val="008735FD"/>
    <w:rsid w:val="00875CBB"/>
    <w:rsid w:val="00881BDD"/>
    <w:rsid w:val="00882D8F"/>
    <w:rsid w:val="00884E89"/>
    <w:rsid w:val="00887AE0"/>
    <w:rsid w:val="00894D66"/>
    <w:rsid w:val="008A172C"/>
    <w:rsid w:val="008A189E"/>
    <w:rsid w:val="008A2F5E"/>
    <w:rsid w:val="008A3A8A"/>
    <w:rsid w:val="008A6AB9"/>
    <w:rsid w:val="008A70B8"/>
    <w:rsid w:val="008A7927"/>
    <w:rsid w:val="008B0073"/>
    <w:rsid w:val="008B3A9A"/>
    <w:rsid w:val="008B6E40"/>
    <w:rsid w:val="008B7D5F"/>
    <w:rsid w:val="008C013D"/>
    <w:rsid w:val="008C0E44"/>
    <w:rsid w:val="008C4F7B"/>
    <w:rsid w:val="008D34F3"/>
    <w:rsid w:val="008D4BB3"/>
    <w:rsid w:val="008D559E"/>
    <w:rsid w:val="008D6A6D"/>
    <w:rsid w:val="008D754A"/>
    <w:rsid w:val="008D7686"/>
    <w:rsid w:val="008E0EBC"/>
    <w:rsid w:val="008E24BD"/>
    <w:rsid w:val="008E32E6"/>
    <w:rsid w:val="008E51B9"/>
    <w:rsid w:val="008E5243"/>
    <w:rsid w:val="008E55B7"/>
    <w:rsid w:val="008E58C5"/>
    <w:rsid w:val="008E6665"/>
    <w:rsid w:val="008E7723"/>
    <w:rsid w:val="008F3064"/>
    <w:rsid w:val="008F30E9"/>
    <w:rsid w:val="008F619D"/>
    <w:rsid w:val="008F752C"/>
    <w:rsid w:val="008F7990"/>
    <w:rsid w:val="00900B67"/>
    <w:rsid w:val="00900BE7"/>
    <w:rsid w:val="00901DF5"/>
    <w:rsid w:val="00902AC0"/>
    <w:rsid w:val="00903BEE"/>
    <w:rsid w:val="009058AE"/>
    <w:rsid w:val="00905B0F"/>
    <w:rsid w:val="00906995"/>
    <w:rsid w:val="0091051C"/>
    <w:rsid w:val="00913E95"/>
    <w:rsid w:val="00922555"/>
    <w:rsid w:val="00923E31"/>
    <w:rsid w:val="00925B05"/>
    <w:rsid w:val="00932C8D"/>
    <w:rsid w:val="00933423"/>
    <w:rsid w:val="009362D0"/>
    <w:rsid w:val="00936E9F"/>
    <w:rsid w:val="00937538"/>
    <w:rsid w:val="00940D02"/>
    <w:rsid w:val="00942EE3"/>
    <w:rsid w:val="009436A7"/>
    <w:rsid w:val="0094396B"/>
    <w:rsid w:val="0094481E"/>
    <w:rsid w:val="00944E41"/>
    <w:rsid w:val="00947875"/>
    <w:rsid w:val="0094790F"/>
    <w:rsid w:val="00955306"/>
    <w:rsid w:val="0095679D"/>
    <w:rsid w:val="009575A4"/>
    <w:rsid w:val="00960C15"/>
    <w:rsid w:val="00962AE5"/>
    <w:rsid w:val="00963AF0"/>
    <w:rsid w:val="00964BC0"/>
    <w:rsid w:val="00965D03"/>
    <w:rsid w:val="00967470"/>
    <w:rsid w:val="009719EF"/>
    <w:rsid w:val="00971CC9"/>
    <w:rsid w:val="00971E84"/>
    <w:rsid w:val="00972385"/>
    <w:rsid w:val="0097390D"/>
    <w:rsid w:val="00974156"/>
    <w:rsid w:val="00974A72"/>
    <w:rsid w:val="00975AEA"/>
    <w:rsid w:val="0097658D"/>
    <w:rsid w:val="00976FB8"/>
    <w:rsid w:val="009804A9"/>
    <w:rsid w:val="00981BC8"/>
    <w:rsid w:val="00981DF6"/>
    <w:rsid w:val="00982605"/>
    <w:rsid w:val="00984DD5"/>
    <w:rsid w:val="009850EA"/>
    <w:rsid w:val="009856B4"/>
    <w:rsid w:val="00985F8B"/>
    <w:rsid w:val="00987070"/>
    <w:rsid w:val="00990DC6"/>
    <w:rsid w:val="00991289"/>
    <w:rsid w:val="00992578"/>
    <w:rsid w:val="00992941"/>
    <w:rsid w:val="00997ED7"/>
    <w:rsid w:val="009A1927"/>
    <w:rsid w:val="009A1EFC"/>
    <w:rsid w:val="009A3614"/>
    <w:rsid w:val="009A3DCA"/>
    <w:rsid w:val="009A6177"/>
    <w:rsid w:val="009A6340"/>
    <w:rsid w:val="009A6420"/>
    <w:rsid w:val="009A678C"/>
    <w:rsid w:val="009A740D"/>
    <w:rsid w:val="009A76B6"/>
    <w:rsid w:val="009B2C85"/>
    <w:rsid w:val="009B3E6E"/>
    <w:rsid w:val="009B4559"/>
    <w:rsid w:val="009B6349"/>
    <w:rsid w:val="009B7743"/>
    <w:rsid w:val="009C2B2A"/>
    <w:rsid w:val="009D1942"/>
    <w:rsid w:val="009D24AF"/>
    <w:rsid w:val="009D28F2"/>
    <w:rsid w:val="009D69DC"/>
    <w:rsid w:val="009D6BD8"/>
    <w:rsid w:val="009D7AB2"/>
    <w:rsid w:val="009E2DCB"/>
    <w:rsid w:val="009E3586"/>
    <w:rsid w:val="009E69C9"/>
    <w:rsid w:val="009E7B90"/>
    <w:rsid w:val="009F038A"/>
    <w:rsid w:val="009F0613"/>
    <w:rsid w:val="009F3262"/>
    <w:rsid w:val="009F456F"/>
    <w:rsid w:val="009F55DC"/>
    <w:rsid w:val="00A00131"/>
    <w:rsid w:val="00A07351"/>
    <w:rsid w:val="00A11C07"/>
    <w:rsid w:val="00A11E45"/>
    <w:rsid w:val="00A13474"/>
    <w:rsid w:val="00A1372E"/>
    <w:rsid w:val="00A14473"/>
    <w:rsid w:val="00A1576A"/>
    <w:rsid w:val="00A15D38"/>
    <w:rsid w:val="00A1730F"/>
    <w:rsid w:val="00A219B5"/>
    <w:rsid w:val="00A228EA"/>
    <w:rsid w:val="00A24CD7"/>
    <w:rsid w:val="00A25791"/>
    <w:rsid w:val="00A25C78"/>
    <w:rsid w:val="00A3005C"/>
    <w:rsid w:val="00A33099"/>
    <w:rsid w:val="00A33C71"/>
    <w:rsid w:val="00A3454C"/>
    <w:rsid w:val="00A352DC"/>
    <w:rsid w:val="00A36558"/>
    <w:rsid w:val="00A405D3"/>
    <w:rsid w:val="00A40BB1"/>
    <w:rsid w:val="00A40E62"/>
    <w:rsid w:val="00A41772"/>
    <w:rsid w:val="00A4200B"/>
    <w:rsid w:val="00A421CD"/>
    <w:rsid w:val="00A4530A"/>
    <w:rsid w:val="00A453E1"/>
    <w:rsid w:val="00A4565E"/>
    <w:rsid w:val="00A47A96"/>
    <w:rsid w:val="00A47BB1"/>
    <w:rsid w:val="00A47D47"/>
    <w:rsid w:val="00A5058B"/>
    <w:rsid w:val="00A5186D"/>
    <w:rsid w:val="00A521CA"/>
    <w:rsid w:val="00A52D60"/>
    <w:rsid w:val="00A537D6"/>
    <w:rsid w:val="00A54D2F"/>
    <w:rsid w:val="00A54DA9"/>
    <w:rsid w:val="00A54EC4"/>
    <w:rsid w:val="00A55B99"/>
    <w:rsid w:val="00A564D4"/>
    <w:rsid w:val="00A56FE6"/>
    <w:rsid w:val="00A5791A"/>
    <w:rsid w:val="00A60A74"/>
    <w:rsid w:val="00A61905"/>
    <w:rsid w:val="00A6219C"/>
    <w:rsid w:val="00A6255A"/>
    <w:rsid w:val="00A6284A"/>
    <w:rsid w:val="00A6359A"/>
    <w:rsid w:val="00A64BEA"/>
    <w:rsid w:val="00A663EC"/>
    <w:rsid w:val="00A6654C"/>
    <w:rsid w:val="00A6724E"/>
    <w:rsid w:val="00A7035E"/>
    <w:rsid w:val="00A71EFF"/>
    <w:rsid w:val="00A71F2F"/>
    <w:rsid w:val="00A74EB5"/>
    <w:rsid w:val="00A804DA"/>
    <w:rsid w:val="00A81253"/>
    <w:rsid w:val="00A817F3"/>
    <w:rsid w:val="00A8445F"/>
    <w:rsid w:val="00A85CC6"/>
    <w:rsid w:val="00A9192F"/>
    <w:rsid w:val="00A91B37"/>
    <w:rsid w:val="00A91E46"/>
    <w:rsid w:val="00A92804"/>
    <w:rsid w:val="00A928BC"/>
    <w:rsid w:val="00A95136"/>
    <w:rsid w:val="00A97120"/>
    <w:rsid w:val="00A979F7"/>
    <w:rsid w:val="00AA124E"/>
    <w:rsid w:val="00AA136A"/>
    <w:rsid w:val="00AA144D"/>
    <w:rsid w:val="00AA2789"/>
    <w:rsid w:val="00AA57F5"/>
    <w:rsid w:val="00AA5803"/>
    <w:rsid w:val="00AA5851"/>
    <w:rsid w:val="00AA6A21"/>
    <w:rsid w:val="00AA7EB7"/>
    <w:rsid w:val="00AB0F94"/>
    <w:rsid w:val="00AB150B"/>
    <w:rsid w:val="00AB2433"/>
    <w:rsid w:val="00AB3DD5"/>
    <w:rsid w:val="00AB5845"/>
    <w:rsid w:val="00AB6A85"/>
    <w:rsid w:val="00AC1B59"/>
    <w:rsid w:val="00AC3426"/>
    <w:rsid w:val="00AC4836"/>
    <w:rsid w:val="00AC50F6"/>
    <w:rsid w:val="00AC68FB"/>
    <w:rsid w:val="00AC6FB2"/>
    <w:rsid w:val="00AD0299"/>
    <w:rsid w:val="00AD1B1E"/>
    <w:rsid w:val="00AD6132"/>
    <w:rsid w:val="00AE0434"/>
    <w:rsid w:val="00AE3711"/>
    <w:rsid w:val="00AE3CFF"/>
    <w:rsid w:val="00AE46F6"/>
    <w:rsid w:val="00AE5DFB"/>
    <w:rsid w:val="00AE6EDA"/>
    <w:rsid w:val="00AE7928"/>
    <w:rsid w:val="00AF295F"/>
    <w:rsid w:val="00AF3A52"/>
    <w:rsid w:val="00AF4410"/>
    <w:rsid w:val="00AF5D28"/>
    <w:rsid w:val="00AF6151"/>
    <w:rsid w:val="00AF6E55"/>
    <w:rsid w:val="00B0153C"/>
    <w:rsid w:val="00B020EB"/>
    <w:rsid w:val="00B0223F"/>
    <w:rsid w:val="00B02AEE"/>
    <w:rsid w:val="00B030D9"/>
    <w:rsid w:val="00B036C1"/>
    <w:rsid w:val="00B05A85"/>
    <w:rsid w:val="00B07C2C"/>
    <w:rsid w:val="00B11F42"/>
    <w:rsid w:val="00B12D81"/>
    <w:rsid w:val="00B138BE"/>
    <w:rsid w:val="00B16178"/>
    <w:rsid w:val="00B1742B"/>
    <w:rsid w:val="00B2336F"/>
    <w:rsid w:val="00B24001"/>
    <w:rsid w:val="00B25053"/>
    <w:rsid w:val="00B267EA"/>
    <w:rsid w:val="00B278FC"/>
    <w:rsid w:val="00B30373"/>
    <w:rsid w:val="00B30F1B"/>
    <w:rsid w:val="00B314D1"/>
    <w:rsid w:val="00B32477"/>
    <w:rsid w:val="00B32919"/>
    <w:rsid w:val="00B32AE3"/>
    <w:rsid w:val="00B345EE"/>
    <w:rsid w:val="00B35C02"/>
    <w:rsid w:val="00B378A8"/>
    <w:rsid w:val="00B37FEC"/>
    <w:rsid w:val="00B41361"/>
    <w:rsid w:val="00B415A0"/>
    <w:rsid w:val="00B43518"/>
    <w:rsid w:val="00B43A8F"/>
    <w:rsid w:val="00B445AD"/>
    <w:rsid w:val="00B47586"/>
    <w:rsid w:val="00B534A1"/>
    <w:rsid w:val="00B54DC7"/>
    <w:rsid w:val="00B56B34"/>
    <w:rsid w:val="00B61E47"/>
    <w:rsid w:val="00B62E63"/>
    <w:rsid w:val="00B6439C"/>
    <w:rsid w:val="00B655AA"/>
    <w:rsid w:val="00B658A6"/>
    <w:rsid w:val="00B66567"/>
    <w:rsid w:val="00B708C7"/>
    <w:rsid w:val="00B70E8F"/>
    <w:rsid w:val="00B72A74"/>
    <w:rsid w:val="00B75648"/>
    <w:rsid w:val="00B77170"/>
    <w:rsid w:val="00B825C9"/>
    <w:rsid w:val="00B82F76"/>
    <w:rsid w:val="00B83006"/>
    <w:rsid w:val="00B8445B"/>
    <w:rsid w:val="00B908CC"/>
    <w:rsid w:val="00B909BB"/>
    <w:rsid w:val="00B9151C"/>
    <w:rsid w:val="00B93229"/>
    <w:rsid w:val="00B97584"/>
    <w:rsid w:val="00BA1D1F"/>
    <w:rsid w:val="00BA2382"/>
    <w:rsid w:val="00BA2CA8"/>
    <w:rsid w:val="00BA2DB6"/>
    <w:rsid w:val="00BA50D2"/>
    <w:rsid w:val="00BB07D8"/>
    <w:rsid w:val="00BB1229"/>
    <w:rsid w:val="00BB3D69"/>
    <w:rsid w:val="00BB522F"/>
    <w:rsid w:val="00BB54EC"/>
    <w:rsid w:val="00BB58A7"/>
    <w:rsid w:val="00BB65CF"/>
    <w:rsid w:val="00BC06F3"/>
    <w:rsid w:val="00BC0A41"/>
    <w:rsid w:val="00BC1391"/>
    <w:rsid w:val="00BC3ED7"/>
    <w:rsid w:val="00BC458B"/>
    <w:rsid w:val="00BD0DE3"/>
    <w:rsid w:val="00BD10B2"/>
    <w:rsid w:val="00BD130A"/>
    <w:rsid w:val="00BD150F"/>
    <w:rsid w:val="00BD1595"/>
    <w:rsid w:val="00BD1917"/>
    <w:rsid w:val="00BD2B51"/>
    <w:rsid w:val="00BD40CB"/>
    <w:rsid w:val="00BD410B"/>
    <w:rsid w:val="00BD4305"/>
    <w:rsid w:val="00BD7A4B"/>
    <w:rsid w:val="00BE091D"/>
    <w:rsid w:val="00BE1425"/>
    <w:rsid w:val="00BE1872"/>
    <w:rsid w:val="00BE374B"/>
    <w:rsid w:val="00BE4F00"/>
    <w:rsid w:val="00BE6F11"/>
    <w:rsid w:val="00BE7730"/>
    <w:rsid w:val="00BF0173"/>
    <w:rsid w:val="00BF2ABD"/>
    <w:rsid w:val="00BF3A5B"/>
    <w:rsid w:val="00BF4BD3"/>
    <w:rsid w:val="00BF5D25"/>
    <w:rsid w:val="00BF60B0"/>
    <w:rsid w:val="00BF7E85"/>
    <w:rsid w:val="00C008C5"/>
    <w:rsid w:val="00C009F0"/>
    <w:rsid w:val="00C00B3E"/>
    <w:rsid w:val="00C01F27"/>
    <w:rsid w:val="00C0247C"/>
    <w:rsid w:val="00C0349E"/>
    <w:rsid w:val="00C046E8"/>
    <w:rsid w:val="00C048EE"/>
    <w:rsid w:val="00C057F9"/>
    <w:rsid w:val="00C073E6"/>
    <w:rsid w:val="00C07A39"/>
    <w:rsid w:val="00C1159E"/>
    <w:rsid w:val="00C120DD"/>
    <w:rsid w:val="00C12479"/>
    <w:rsid w:val="00C12495"/>
    <w:rsid w:val="00C14B92"/>
    <w:rsid w:val="00C14C12"/>
    <w:rsid w:val="00C176DF"/>
    <w:rsid w:val="00C2025C"/>
    <w:rsid w:val="00C233F0"/>
    <w:rsid w:val="00C23593"/>
    <w:rsid w:val="00C24128"/>
    <w:rsid w:val="00C2463E"/>
    <w:rsid w:val="00C301FB"/>
    <w:rsid w:val="00C3031C"/>
    <w:rsid w:val="00C3078E"/>
    <w:rsid w:val="00C307F7"/>
    <w:rsid w:val="00C30EFA"/>
    <w:rsid w:val="00C3164F"/>
    <w:rsid w:val="00C339B7"/>
    <w:rsid w:val="00C33F78"/>
    <w:rsid w:val="00C341EA"/>
    <w:rsid w:val="00C37B21"/>
    <w:rsid w:val="00C41055"/>
    <w:rsid w:val="00C42F6C"/>
    <w:rsid w:val="00C44077"/>
    <w:rsid w:val="00C4504D"/>
    <w:rsid w:val="00C46BAC"/>
    <w:rsid w:val="00C51218"/>
    <w:rsid w:val="00C514FF"/>
    <w:rsid w:val="00C51E3E"/>
    <w:rsid w:val="00C53157"/>
    <w:rsid w:val="00C53653"/>
    <w:rsid w:val="00C55134"/>
    <w:rsid w:val="00C56967"/>
    <w:rsid w:val="00C572CA"/>
    <w:rsid w:val="00C57D17"/>
    <w:rsid w:val="00C57D4D"/>
    <w:rsid w:val="00C61327"/>
    <w:rsid w:val="00C662A7"/>
    <w:rsid w:val="00C72A7B"/>
    <w:rsid w:val="00C73325"/>
    <w:rsid w:val="00C746C6"/>
    <w:rsid w:val="00C75461"/>
    <w:rsid w:val="00C77B60"/>
    <w:rsid w:val="00C77DAF"/>
    <w:rsid w:val="00C804BF"/>
    <w:rsid w:val="00C80AF8"/>
    <w:rsid w:val="00C81B92"/>
    <w:rsid w:val="00C828D3"/>
    <w:rsid w:val="00C90222"/>
    <w:rsid w:val="00C90806"/>
    <w:rsid w:val="00C933AF"/>
    <w:rsid w:val="00C945F0"/>
    <w:rsid w:val="00C94A08"/>
    <w:rsid w:val="00C950BB"/>
    <w:rsid w:val="00CA00B8"/>
    <w:rsid w:val="00CA22F9"/>
    <w:rsid w:val="00CA24FE"/>
    <w:rsid w:val="00CA2DC4"/>
    <w:rsid w:val="00CA507D"/>
    <w:rsid w:val="00CA72BA"/>
    <w:rsid w:val="00CA7435"/>
    <w:rsid w:val="00CB105D"/>
    <w:rsid w:val="00CB199E"/>
    <w:rsid w:val="00CB297B"/>
    <w:rsid w:val="00CB6420"/>
    <w:rsid w:val="00CB66AA"/>
    <w:rsid w:val="00CC037B"/>
    <w:rsid w:val="00CC0A4F"/>
    <w:rsid w:val="00CC1035"/>
    <w:rsid w:val="00CC48F0"/>
    <w:rsid w:val="00CC53A4"/>
    <w:rsid w:val="00CC5571"/>
    <w:rsid w:val="00CD16EE"/>
    <w:rsid w:val="00CD3D47"/>
    <w:rsid w:val="00CD3F24"/>
    <w:rsid w:val="00CD415D"/>
    <w:rsid w:val="00CD41B3"/>
    <w:rsid w:val="00CD52E8"/>
    <w:rsid w:val="00CD56FD"/>
    <w:rsid w:val="00CD5DF9"/>
    <w:rsid w:val="00CD6EB7"/>
    <w:rsid w:val="00CD6F4C"/>
    <w:rsid w:val="00CD7C58"/>
    <w:rsid w:val="00CD7D54"/>
    <w:rsid w:val="00CE0F16"/>
    <w:rsid w:val="00CE1DD0"/>
    <w:rsid w:val="00CE46C5"/>
    <w:rsid w:val="00CE5DCD"/>
    <w:rsid w:val="00CE67A5"/>
    <w:rsid w:val="00CE7BA2"/>
    <w:rsid w:val="00CE7E10"/>
    <w:rsid w:val="00CF256B"/>
    <w:rsid w:val="00CF43E2"/>
    <w:rsid w:val="00CF4533"/>
    <w:rsid w:val="00CF68E0"/>
    <w:rsid w:val="00CF77E1"/>
    <w:rsid w:val="00CF792C"/>
    <w:rsid w:val="00CF7F0B"/>
    <w:rsid w:val="00D00C72"/>
    <w:rsid w:val="00D00DA4"/>
    <w:rsid w:val="00D052F6"/>
    <w:rsid w:val="00D074AF"/>
    <w:rsid w:val="00D11970"/>
    <w:rsid w:val="00D13E9E"/>
    <w:rsid w:val="00D1478B"/>
    <w:rsid w:val="00D1645C"/>
    <w:rsid w:val="00D164E9"/>
    <w:rsid w:val="00D200C3"/>
    <w:rsid w:val="00D20CBB"/>
    <w:rsid w:val="00D2298D"/>
    <w:rsid w:val="00D248E7"/>
    <w:rsid w:val="00D2560F"/>
    <w:rsid w:val="00D26C14"/>
    <w:rsid w:val="00D27F1F"/>
    <w:rsid w:val="00D3066E"/>
    <w:rsid w:val="00D30BE5"/>
    <w:rsid w:val="00D32DDA"/>
    <w:rsid w:val="00D334DC"/>
    <w:rsid w:val="00D339FE"/>
    <w:rsid w:val="00D35060"/>
    <w:rsid w:val="00D3783A"/>
    <w:rsid w:val="00D4398A"/>
    <w:rsid w:val="00D47189"/>
    <w:rsid w:val="00D55D95"/>
    <w:rsid w:val="00D5733F"/>
    <w:rsid w:val="00D57963"/>
    <w:rsid w:val="00D6034E"/>
    <w:rsid w:val="00D6076B"/>
    <w:rsid w:val="00D6163A"/>
    <w:rsid w:val="00D62AD1"/>
    <w:rsid w:val="00D630E9"/>
    <w:rsid w:val="00D635E2"/>
    <w:rsid w:val="00D6466B"/>
    <w:rsid w:val="00D65BD6"/>
    <w:rsid w:val="00D661ED"/>
    <w:rsid w:val="00D66782"/>
    <w:rsid w:val="00D66789"/>
    <w:rsid w:val="00D678DE"/>
    <w:rsid w:val="00D70C2E"/>
    <w:rsid w:val="00D7143D"/>
    <w:rsid w:val="00D71A24"/>
    <w:rsid w:val="00D72C60"/>
    <w:rsid w:val="00D73C14"/>
    <w:rsid w:val="00D743AB"/>
    <w:rsid w:val="00D74C6C"/>
    <w:rsid w:val="00D753D3"/>
    <w:rsid w:val="00D824EA"/>
    <w:rsid w:val="00D826D6"/>
    <w:rsid w:val="00D829F3"/>
    <w:rsid w:val="00D83125"/>
    <w:rsid w:val="00D83665"/>
    <w:rsid w:val="00D83F30"/>
    <w:rsid w:val="00D848F2"/>
    <w:rsid w:val="00D84B2C"/>
    <w:rsid w:val="00D86508"/>
    <w:rsid w:val="00D90216"/>
    <w:rsid w:val="00D91E22"/>
    <w:rsid w:val="00D92881"/>
    <w:rsid w:val="00DA0D48"/>
    <w:rsid w:val="00DA21B3"/>
    <w:rsid w:val="00DA2C1A"/>
    <w:rsid w:val="00DA40DD"/>
    <w:rsid w:val="00DB1CE9"/>
    <w:rsid w:val="00DB24B7"/>
    <w:rsid w:val="00DB2819"/>
    <w:rsid w:val="00DB2DF2"/>
    <w:rsid w:val="00DB46D2"/>
    <w:rsid w:val="00DB7C46"/>
    <w:rsid w:val="00DB7EA8"/>
    <w:rsid w:val="00DC1AD9"/>
    <w:rsid w:val="00DC47C8"/>
    <w:rsid w:val="00DC78BC"/>
    <w:rsid w:val="00DD0D28"/>
    <w:rsid w:val="00DD0D2F"/>
    <w:rsid w:val="00DD2768"/>
    <w:rsid w:val="00DD3E51"/>
    <w:rsid w:val="00DD7BC2"/>
    <w:rsid w:val="00DE013F"/>
    <w:rsid w:val="00DE019C"/>
    <w:rsid w:val="00DE0EA8"/>
    <w:rsid w:val="00DE13F3"/>
    <w:rsid w:val="00DE19D2"/>
    <w:rsid w:val="00DE1CD7"/>
    <w:rsid w:val="00DE1DB6"/>
    <w:rsid w:val="00DE47C8"/>
    <w:rsid w:val="00DE7540"/>
    <w:rsid w:val="00DE77AB"/>
    <w:rsid w:val="00DF362E"/>
    <w:rsid w:val="00E00869"/>
    <w:rsid w:val="00E01472"/>
    <w:rsid w:val="00E015A1"/>
    <w:rsid w:val="00E02CD4"/>
    <w:rsid w:val="00E05763"/>
    <w:rsid w:val="00E1136E"/>
    <w:rsid w:val="00E1243F"/>
    <w:rsid w:val="00E12676"/>
    <w:rsid w:val="00E16BBE"/>
    <w:rsid w:val="00E222CA"/>
    <w:rsid w:val="00E24B86"/>
    <w:rsid w:val="00E278E4"/>
    <w:rsid w:val="00E330AB"/>
    <w:rsid w:val="00E33100"/>
    <w:rsid w:val="00E3338E"/>
    <w:rsid w:val="00E33A5B"/>
    <w:rsid w:val="00E33B94"/>
    <w:rsid w:val="00E40148"/>
    <w:rsid w:val="00E420E8"/>
    <w:rsid w:val="00E46431"/>
    <w:rsid w:val="00E477BF"/>
    <w:rsid w:val="00E47CDF"/>
    <w:rsid w:val="00E50952"/>
    <w:rsid w:val="00E5182C"/>
    <w:rsid w:val="00E53D99"/>
    <w:rsid w:val="00E540BB"/>
    <w:rsid w:val="00E5531A"/>
    <w:rsid w:val="00E564C6"/>
    <w:rsid w:val="00E56546"/>
    <w:rsid w:val="00E62537"/>
    <w:rsid w:val="00E633BE"/>
    <w:rsid w:val="00E6492D"/>
    <w:rsid w:val="00E6744F"/>
    <w:rsid w:val="00E71B5B"/>
    <w:rsid w:val="00E7285F"/>
    <w:rsid w:val="00E7314B"/>
    <w:rsid w:val="00E77AA0"/>
    <w:rsid w:val="00E80FCF"/>
    <w:rsid w:val="00E82288"/>
    <w:rsid w:val="00E825B1"/>
    <w:rsid w:val="00E868B1"/>
    <w:rsid w:val="00E87A00"/>
    <w:rsid w:val="00E906E1"/>
    <w:rsid w:val="00E914E8"/>
    <w:rsid w:val="00E91B6E"/>
    <w:rsid w:val="00E93D9B"/>
    <w:rsid w:val="00E9585D"/>
    <w:rsid w:val="00E95A6D"/>
    <w:rsid w:val="00E95FAE"/>
    <w:rsid w:val="00E96AD4"/>
    <w:rsid w:val="00E96B7C"/>
    <w:rsid w:val="00E977CA"/>
    <w:rsid w:val="00E97C0C"/>
    <w:rsid w:val="00EA0533"/>
    <w:rsid w:val="00EA2166"/>
    <w:rsid w:val="00EA2D70"/>
    <w:rsid w:val="00EA399B"/>
    <w:rsid w:val="00EA7B0F"/>
    <w:rsid w:val="00EA7C0D"/>
    <w:rsid w:val="00EB17EC"/>
    <w:rsid w:val="00EB3F03"/>
    <w:rsid w:val="00EB3FD0"/>
    <w:rsid w:val="00EC081D"/>
    <w:rsid w:val="00EC394F"/>
    <w:rsid w:val="00EC3C9D"/>
    <w:rsid w:val="00EC434B"/>
    <w:rsid w:val="00EC700A"/>
    <w:rsid w:val="00EC73B7"/>
    <w:rsid w:val="00EC783E"/>
    <w:rsid w:val="00ED0A76"/>
    <w:rsid w:val="00ED1CB2"/>
    <w:rsid w:val="00ED25C3"/>
    <w:rsid w:val="00ED335E"/>
    <w:rsid w:val="00ED35EC"/>
    <w:rsid w:val="00ED5AD1"/>
    <w:rsid w:val="00EE2320"/>
    <w:rsid w:val="00EE2AEF"/>
    <w:rsid w:val="00EE3189"/>
    <w:rsid w:val="00EF19A0"/>
    <w:rsid w:val="00EF19B3"/>
    <w:rsid w:val="00EF1B3F"/>
    <w:rsid w:val="00EF26E5"/>
    <w:rsid w:val="00EF27A2"/>
    <w:rsid w:val="00EF2A9F"/>
    <w:rsid w:val="00EF4A16"/>
    <w:rsid w:val="00EF567C"/>
    <w:rsid w:val="00EF58B9"/>
    <w:rsid w:val="00EF6611"/>
    <w:rsid w:val="00EF7019"/>
    <w:rsid w:val="00EF7079"/>
    <w:rsid w:val="00EF7C10"/>
    <w:rsid w:val="00F016E3"/>
    <w:rsid w:val="00F04B1E"/>
    <w:rsid w:val="00F11791"/>
    <w:rsid w:val="00F126F1"/>
    <w:rsid w:val="00F12765"/>
    <w:rsid w:val="00F129E6"/>
    <w:rsid w:val="00F13662"/>
    <w:rsid w:val="00F14048"/>
    <w:rsid w:val="00F147C7"/>
    <w:rsid w:val="00F1546A"/>
    <w:rsid w:val="00F16131"/>
    <w:rsid w:val="00F213B7"/>
    <w:rsid w:val="00F22E50"/>
    <w:rsid w:val="00F26E8D"/>
    <w:rsid w:val="00F272D2"/>
    <w:rsid w:val="00F272EB"/>
    <w:rsid w:val="00F27C2B"/>
    <w:rsid w:val="00F328C0"/>
    <w:rsid w:val="00F329A2"/>
    <w:rsid w:val="00F32E85"/>
    <w:rsid w:val="00F34CB2"/>
    <w:rsid w:val="00F41472"/>
    <w:rsid w:val="00F4215B"/>
    <w:rsid w:val="00F4283E"/>
    <w:rsid w:val="00F428D0"/>
    <w:rsid w:val="00F43F87"/>
    <w:rsid w:val="00F46605"/>
    <w:rsid w:val="00F46FA2"/>
    <w:rsid w:val="00F5316F"/>
    <w:rsid w:val="00F533BB"/>
    <w:rsid w:val="00F5362A"/>
    <w:rsid w:val="00F56226"/>
    <w:rsid w:val="00F570BA"/>
    <w:rsid w:val="00F601B8"/>
    <w:rsid w:val="00F61C09"/>
    <w:rsid w:val="00F61D76"/>
    <w:rsid w:val="00F61D7C"/>
    <w:rsid w:val="00F62D89"/>
    <w:rsid w:val="00F63349"/>
    <w:rsid w:val="00F6373A"/>
    <w:rsid w:val="00F65FD9"/>
    <w:rsid w:val="00F66456"/>
    <w:rsid w:val="00F667EB"/>
    <w:rsid w:val="00F709B2"/>
    <w:rsid w:val="00F72B83"/>
    <w:rsid w:val="00F85AB3"/>
    <w:rsid w:val="00F861DB"/>
    <w:rsid w:val="00F86553"/>
    <w:rsid w:val="00F86DAA"/>
    <w:rsid w:val="00F87333"/>
    <w:rsid w:val="00F91424"/>
    <w:rsid w:val="00F97F58"/>
    <w:rsid w:val="00FA1A43"/>
    <w:rsid w:val="00FA3D82"/>
    <w:rsid w:val="00FA4BC4"/>
    <w:rsid w:val="00FA5618"/>
    <w:rsid w:val="00FB499B"/>
    <w:rsid w:val="00FB5648"/>
    <w:rsid w:val="00FB56DA"/>
    <w:rsid w:val="00FC13BF"/>
    <w:rsid w:val="00FC16FB"/>
    <w:rsid w:val="00FC1B66"/>
    <w:rsid w:val="00FC1D77"/>
    <w:rsid w:val="00FC2C47"/>
    <w:rsid w:val="00FC4567"/>
    <w:rsid w:val="00FC5398"/>
    <w:rsid w:val="00FC5A58"/>
    <w:rsid w:val="00FC618C"/>
    <w:rsid w:val="00FC7EB8"/>
    <w:rsid w:val="00FD44C0"/>
    <w:rsid w:val="00FD66F9"/>
    <w:rsid w:val="00FE15A4"/>
    <w:rsid w:val="00FE51BD"/>
    <w:rsid w:val="00FE553B"/>
    <w:rsid w:val="00FE723E"/>
    <w:rsid w:val="00FF29BC"/>
    <w:rsid w:val="00FF3246"/>
    <w:rsid w:val="00FF3293"/>
    <w:rsid w:val="00FF40F7"/>
    <w:rsid w:val="00FF52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87ED549"/>
  <w15:docId w15:val="{6D7A8EC5-AD5B-4F85-BB3A-4850CCCA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CE"/>
    <w:rPr>
      <w:rFonts w:ascii="Times New Roman" w:hAnsi="Times New Roman" w:cs="Times New Roman"/>
    </w:rPr>
  </w:style>
  <w:style w:type="paragraph" w:styleId="Heading1">
    <w:name w:val="heading 1"/>
    <w:basedOn w:val="Normal"/>
    <w:next w:val="Normal"/>
    <w:link w:val="Heading1Char"/>
    <w:autoRedefine/>
    <w:uiPriority w:val="9"/>
    <w:qFormat/>
    <w:rsid w:val="000B3851"/>
    <w:pPr>
      <w:keepNext/>
      <w:keepLines/>
      <w:spacing w:before="360" w:after="120"/>
      <w:jc w:val="both"/>
      <w:outlineLvl w:val="0"/>
    </w:pPr>
    <w:rPr>
      <w:rFonts w:ascii="Verdana" w:eastAsiaTheme="majorEastAsia" w:hAnsi="Verdana" w:cstheme="majorBidi"/>
      <w:b/>
      <w:color w:val="00565B"/>
      <w:sz w:val="30"/>
      <w:szCs w:val="32"/>
    </w:rPr>
  </w:style>
  <w:style w:type="paragraph" w:styleId="Heading2">
    <w:name w:val="heading 2"/>
    <w:basedOn w:val="Normal"/>
    <w:next w:val="Normal"/>
    <w:link w:val="Heading2Char"/>
    <w:uiPriority w:val="9"/>
    <w:unhideWhenUsed/>
    <w:qFormat/>
    <w:rsid w:val="00BF3A5B"/>
    <w:pPr>
      <w:keepNext/>
      <w:keepLines/>
      <w:spacing w:before="360" w:after="120"/>
      <w:outlineLvl w:val="1"/>
    </w:pPr>
    <w:rPr>
      <w:rFonts w:ascii="Verdana" w:eastAsiaTheme="majorEastAsia" w:hAnsi="Verdana" w:cstheme="majorBidi"/>
      <w:b/>
      <w:color w:val="00565B"/>
      <w:sz w:val="26"/>
      <w:szCs w:val="26"/>
    </w:rPr>
  </w:style>
  <w:style w:type="paragraph" w:styleId="Heading3">
    <w:name w:val="heading 3"/>
    <w:basedOn w:val="Normal"/>
    <w:next w:val="Normal"/>
    <w:link w:val="Heading3Char"/>
    <w:uiPriority w:val="9"/>
    <w:unhideWhenUsed/>
    <w:qFormat/>
    <w:rsid w:val="005813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6FD"/>
  </w:style>
  <w:style w:type="paragraph" w:styleId="Footer">
    <w:name w:val="footer"/>
    <w:basedOn w:val="Normal"/>
    <w:link w:val="FooterChar"/>
    <w:uiPriority w:val="99"/>
    <w:unhideWhenUsed/>
    <w:rsid w:val="00CD5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6FD"/>
  </w:style>
  <w:style w:type="paragraph" w:styleId="Title">
    <w:name w:val="Title"/>
    <w:basedOn w:val="Normal"/>
    <w:next w:val="Normal"/>
    <w:link w:val="TitleChar"/>
    <w:uiPriority w:val="10"/>
    <w:qFormat/>
    <w:rsid w:val="00CD56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6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C3ACE"/>
    <w:rPr>
      <w:color w:val="00565B"/>
      <w:u w:val="none"/>
    </w:rPr>
  </w:style>
  <w:style w:type="paragraph" w:styleId="ListParagraph">
    <w:name w:val="List Paragraph"/>
    <w:aliases w:val="Heading 2_sj,List Paragraph1,Fünf"/>
    <w:basedOn w:val="Normal"/>
    <w:link w:val="ListParagraphChar"/>
    <w:uiPriority w:val="34"/>
    <w:qFormat/>
    <w:rsid w:val="00CD56FD"/>
    <w:pPr>
      <w:spacing w:after="0" w:line="240" w:lineRule="auto"/>
      <w:ind w:left="720"/>
    </w:pPr>
    <w:rPr>
      <w:rFonts w:ascii="Calibri" w:hAnsi="Calibri"/>
    </w:rPr>
  </w:style>
  <w:style w:type="character" w:customStyle="1" w:styleId="Heading1Char">
    <w:name w:val="Heading 1 Char"/>
    <w:basedOn w:val="DefaultParagraphFont"/>
    <w:link w:val="Heading1"/>
    <w:uiPriority w:val="9"/>
    <w:rsid w:val="00BF3A5B"/>
    <w:rPr>
      <w:rFonts w:ascii="Verdana" w:eastAsiaTheme="majorEastAsia" w:hAnsi="Verdana" w:cstheme="majorBidi"/>
      <w:b/>
      <w:color w:val="00565B"/>
      <w:sz w:val="30"/>
      <w:szCs w:val="32"/>
    </w:rPr>
  </w:style>
  <w:style w:type="table" w:styleId="TableGrid">
    <w:name w:val="Table Grid"/>
    <w:basedOn w:val="TableNormal"/>
    <w:uiPriority w:val="39"/>
    <w:rsid w:val="00306A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334FE"/>
    <w:rPr>
      <w:sz w:val="16"/>
      <w:szCs w:val="16"/>
    </w:rPr>
  </w:style>
  <w:style w:type="paragraph" w:styleId="CommentText">
    <w:name w:val="annotation text"/>
    <w:basedOn w:val="Normal"/>
    <w:link w:val="CommentTextChar"/>
    <w:uiPriority w:val="99"/>
    <w:unhideWhenUsed/>
    <w:qFormat/>
    <w:rsid w:val="001334FE"/>
    <w:pPr>
      <w:spacing w:line="240" w:lineRule="auto"/>
    </w:pPr>
    <w:rPr>
      <w:sz w:val="20"/>
      <w:szCs w:val="20"/>
    </w:rPr>
  </w:style>
  <w:style w:type="character" w:customStyle="1" w:styleId="CommentTextChar">
    <w:name w:val="Comment Text Char"/>
    <w:basedOn w:val="DefaultParagraphFont"/>
    <w:link w:val="CommentText"/>
    <w:uiPriority w:val="99"/>
    <w:qFormat/>
    <w:rsid w:val="001334FE"/>
    <w:rPr>
      <w:sz w:val="20"/>
      <w:szCs w:val="20"/>
    </w:rPr>
  </w:style>
  <w:style w:type="paragraph" w:styleId="CommentSubject">
    <w:name w:val="annotation subject"/>
    <w:basedOn w:val="CommentText"/>
    <w:next w:val="CommentText"/>
    <w:link w:val="CommentSubjectChar"/>
    <w:uiPriority w:val="99"/>
    <w:semiHidden/>
    <w:unhideWhenUsed/>
    <w:rsid w:val="001334FE"/>
    <w:rPr>
      <w:b/>
      <w:bCs/>
    </w:rPr>
  </w:style>
  <w:style w:type="character" w:customStyle="1" w:styleId="CommentSubjectChar">
    <w:name w:val="Comment Subject Char"/>
    <w:basedOn w:val="CommentTextChar"/>
    <w:link w:val="CommentSubject"/>
    <w:uiPriority w:val="99"/>
    <w:semiHidden/>
    <w:rsid w:val="001334FE"/>
    <w:rPr>
      <w:b/>
      <w:bCs/>
      <w:sz w:val="20"/>
      <w:szCs w:val="20"/>
    </w:rPr>
  </w:style>
  <w:style w:type="paragraph" w:styleId="BalloonText">
    <w:name w:val="Balloon Text"/>
    <w:basedOn w:val="Normal"/>
    <w:link w:val="BalloonTextChar"/>
    <w:uiPriority w:val="99"/>
    <w:semiHidden/>
    <w:unhideWhenUsed/>
    <w:rsid w:val="00133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4FE"/>
    <w:rPr>
      <w:rFonts w:ascii="Segoe UI" w:hAnsi="Segoe UI" w:cs="Segoe UI"/>
      <w:sz w:val="18"/>
      <w:szCs w:val="18"/>
    </w:rPr>
  </w:style>
  <w:style w:type="paragraph" w:styleId="TOCHeading">
    <w:name w:val="TOC Heading"/>
    <w:basedOn w:val="Heading1"/>
    <w:next w:val="Normal"/>
    <w:uiPriority w:val="39"/>
    <w:unhideWhenUsed/>
    <w:qFormat/>
    <w:rsid w:val="000B5C3A"/>
    <w:pPr>
      <w:outlineLvl w:val="9"/>
    </w:pPr>
    <w:rPr>
      <w:lang w:val="en-US"/>
    </w:rPr>
  </w:style>
  <w:style w:type="paragraph" w:styleId="TOC1">
    <w:name w:val="toc 1"/>
    <w:basedOn w:val="Normal"/>
    <w:next w:val="Normal"/>
    <w:autoRedefine/>
    <w:uiPriority w:val="39"/>
    <w:unhideWhenUsed/>
    <w:rsid w:val="00EF27A2"/>
    <w:pPr>
      <w:tabs>
        <w:tab w:val="left" w:pos="426"/>
        <w:tab w:val="right" w:leader="dot" w:pos="9016"/>
      </w:tabs>
      <w:spacing w:after="100" w:line="360" w:lineRule="auto"/>
    </w:pPr>
    <w:rPr>
      <w:rFonts w:ascii="Verdana" w:hAnsi="Verdana"/>
      <w:noProof/>
    </w:rPr>
  </w:style>
  <w:style w:type="character" w:styleId="FollowedHyperlink">
    <w:name w:val="FollowedHyperlink"/>
    <w:basedOn w:val="DefaultParagraphFont"/>
    <w:uiPriority w:val="99"/>
    <w:semiHidden/>
    <w:unhideWhenUsed/>
    <w:rsid w:val="00DE19D2"/>
    <w:rPr>
      <w:color w:val="954F72" w:themeColor="followedHyperlink"/>
      <w:u w:val="single"/>
    </w:rPr>
  </w:style>
  <w:style w:type="character" w:styleId="FootnoteReference">
    <w:name w:val="footnote reference"/>
    <w:aliases w:val="Footnote Refernece,&amp;voetnoot referentie,&amp; voetnoot referentie,4_G,callout,Footnotes refss,Footnote Reference Superscript,Footnote Reference Number,Fußnotenzeichen_Raxen,Ref,de nota al pie,Footnote Refernece + (Latein) Arial,10 pt,Blau"/>
    <w:basedOn w:val="DefaultParagraphFont"/>
    <w:link w:val="FootnoteReferneceCarcter"/>
    <w:uiPriority w:val="99"/>
    <w:qFormat/>
    <w:rsid w:val="00860591"/>
    <w:rPr>
      <w:vertAlign w:val="superscript"/>
    </w:rPr>
  </w:style>
  <w:style w:type="paragraph" w:customStyle="1" w:styleId="FRAFootnoteText">
    <w:name w:val="(FRA) Footnote Text"/>
    <w:basedOn w:val="Normal"/>
    <w:qFormat/>
    <w:rsid w:val="00860591"/>
    <w:pPr>
      <w:spacing w:after="0" w:line="240" w:lineRule="auto"/>
      <w:jc w:val="both"/>
    </w:pPr>
    <w:rPr>
      <w:rFonts w:eastAsia="Calibri"/>
      <w:sz w:val="18"/>
      <w:lang w:val="en-US" w:eastAsia="en-GB" w:bidi="en-US"/>
    </w:rPr>
  </w:style>
  <w:style w:type="table" w:customStyle="1" w:styleId="TableGrid6">
    <w:name w:val="Table Grid6"/>
    <w:basedOn w:val="TableNormal"/>
    <w:next w:val="TableGrid"/>
    <w:uiPriority w:val="59"/>
    <w:rsid w:val="00860591"/>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F3A5B"/>
    <w:rPr>
      <w:rFonts w:ascii="Verdana" w:eastAsiaTheme="majorEastAsia" w:hAnsi="Verdana" w:cstheme="majorBidi"/>
      <w:b/>
      <w:color w:val="00565B"/>
      <w:sz w:val="26"/>
      <w:szCs w:val="26"/>
    </w:rPr>
  </w:style>
  <w:style w:type="paragraph" w:styleId="FootnoteText">
    <w:name w:val="footnote text"/>
    <w:aliases w:val="footnotes,Footnote Text Char2 Char,Footnote Text Char Char1 Char,Footnote Text Char2 Char Char Char,Footnote Text Char1 Char Char Char Char,Footnote Text Char Char Char Char Char Char,Footnote Text Char1 Char,C,Footnote TextCSR,Footnote,fn"/>
    <w:basedOn w:val="Normal"/>
    <w:link w:val="FootnoteTextChar1"/>
    <w:uiPriority w:val="99"/>
    <w:qFormat/>
    <w:rsid w:val="00F86553"/>
    <w:pPr>
      <w:spacing w:after="0" w:line="240" w:lineRule="auto"/>
    </w:pPr>
    <w:rPr>
      <w:rFonts w:eastAsia="Calibri"/>
      <w:sz w:val="20"/>
      <w:szCs w:val="20"/>
      <w:lang w:val="en-IE"/>
    </w:rPr>
  </w:style>
  <w:style w:type="character" w:customStyle="1" w:styleId="FootnoteTextChar">
    <w:name w:val="Footnote Text Char"/>
    <w:aliases w:val="Char Char Char Char,Footnote Quote Char,Footnote Quote1 Char,Footnote Quote2 Char,Footnote Quote3 Char,Footnote Quote4 Char,Footnote Quote5 Char,Footnote Quote6 Char,Footnote Quote7 Char,Footnote Quote8 Char,Footnote Quote9 Char"/>
    <w:basedOn w:val="DefaultParagraphFont"/>
    <w:uiPriority w:val="99"/>
    <w:rsid w:val="00F86553"/>
    <w:rPr>
      <w:sz w:val="20"/>
      <w:szCs w:val="20"/>
    </w:rPr>
  </w:style>
  <w:style w:type="character" w:customStyle="1" w:styleId="FootnoteTextChar1">
    <w:name w:val="Footnote Text Char1"/>
    <w:aliases w:val="footnotes Char,Footnote Text Char2 Char Char,Footnote Text Char Char1 Char Char,Footnote Text Char2 Char Char Char Char,Footnote Text Char1 Char Char Char Char Char,Footnote Text Char Char Char Char Char Char Char,C Char,fn Char"/>
    <w:basedOn w:val="DefaultParagraphFont"/>
    <w:link w:val="FootnoteText"/>
    <w:uiPriority w:val="99"/>
    <w:locked/>
    <w:rsid w:val="00F86553"/>
    <w:rPr>
      <w:rFonts w:ascii="Times New Roman" w:eastAsia="Calibri" w:hAnsi="Times New Roman" w:cs="Times New Roman"/>
      <w:sz w:val="20"/>
      <w:szCs w:val="20"/>
      <w:lang w:val="en-IE"/>
    </w:rPr>
  </w:style>
  <w:style w:type="character" w:customStyle="1" w:styleId="FRAFootnoteReference">
    <w:name w:val="(FRA) Footnote Reference"/>
    <w:uiPriority w:val="99"/>
    <w:rsid w:val="00F86553"/>
    <w:rPr>
      <w:rFonts w:ascii="Times New Roman" w:hAnsi="Times New Roman"/>
      <w:sz w:val="18"/>
      <w:vertAlign w:val="superscript"/>
    </w:rPr>
  </w:style>
  <w:style w:type="table" w:customStyle="1" w:styleId="TableGrid61">
    <w:name w:val="Table Grid61"/>
    <w:basedOn w:val="TableNormal"/>
    <w:next w:val="TableGrid"/>
    <w:uiPriority w:val="59"/>
    <w:rsid w:val="0076749F"/>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AA57F5"/>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rsid w:val="0004475B"/>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402FB4"/>
    <w:pPr>
      <w:spacing w:after="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7C1562"/>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E222CA"/>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D200C3"/>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F2A9F"/>
  </w:style>
  <w:style w:type="paragraph" w:customStyle="1" w:styleId="FootnoteReferneceCarcter">
    <w:name w:val="Footnote Refernece Carácter"/>
    <w:aliases w:val="ftref Carácter,4_G Carácter"/>
    <w:basedOn w:val="Normal"/>
    <w:link w:val="FootnoteReference"/>
    <w:rsid w:val="00581378"/>
    <w:pPr>
      <w:spacing w:line="240" w:lineRule="exact"/>
      <w:jc w:val="both"/>
    </w:pPr>
    <w:rPr>
      <w:vertAlign w:val="superscript"/>
    </w:rPr>
  </w:style>
  <w:style w:type="character" w:customStyle="1" w:styleId="Heading3Char">
    <w:name w:val="Heading 3 Char"/>
    <w:basedOn w:val="DefaultParagraphFont"/>
    <w:link w:val="Heading3"/>
    <w:uiPriority w:val="9"/>
    <w:rsid w:val="00581378"/>
    <w:rPr>
      <w:rFonts w:asciiTheme="majorHAnsi" w:eastAsiaTheme="majorEastAsia" w:hAnsiTheme="majorHAnsi" w:cstheme="majorBidi"/>
      <w:color w:val="1F4D78" w:themeColor="accent1" w:themeShade="7F"/>
      <w:sz w:val="24"/>
      <w:szCs w:val="24"/>
    </w:rPr>
  </w:style>
  <w:style w:type="paragraph" w:customStyle="1" w:styleId="Notedebasd">
    <w:name w:val="Note de bas d"/>
    <w:basedOn w:val="Normal"/>
    <w:uiPriority w:val="99"/>
    <w:semiHidden/>
    <w:rsid w:val="00CD3F24"/>
    <w:rPr>
      <w:sz w:val="20"/>
      <w:szCs w:val="20"/>
    </w:rPr>
  </w:style>
  <w:style w:type="paragraph" w:styleId="TOC2">
    <w:name w:val="toc 2"/>
    <w:basedOn w:val="Normal"/>
    <w:next w:val="Normal"/>
    <w:autoRedefine/>
    <w:uiPriority w:val="39"/>
    <w:unhideWhenUsed/>
    <w:rsid w:val="00922555"/>
    <w:pPr>
      <w:spacing w:after="100"/>
      <w:ind w:left="220"/>
    </w:pPr>
  </w:style>
  <w:style w:type="paragraph" w:styleId="Quote">
    <w:name w:val="Quote"/>
    <w:basedOn w:val="Normal"/>
    <w:next w:val="Normal"/>
    <w:link w:val="QuoteChar"/>
    <w:uiPriority w:val="29"/>
    <w:qFormat/>
    <w:rsid w:val="002C3ACE"/>
    <w:pPr>
      <w:spacing w:before="200"/>
      <w:ind w:left="862" w:right="-330"/>
    </w:pPr>
    <w:rPr>
      <w:i/>
      <w:iCs/>
      <w:color w:val="00565B"/>
    </w:rPr>
  </w:style>
  <w:style w:type="character" w:customStyle="1" w:styleId="QuoteChar">
    <w:name w:val="Quote Char"/>
    <w:basedOn w:val="DefaultParagraphFont"/>
    <w:link w:val="Quote"/>
    <w:uiPriority w:val="29"/>
    <w:rsid w:val="002C3ACE"/>
    <w:rPr>
      <w:rFonts w:ascii="Times New Roman" w:hAnsi="Times New Roman" w:cs="Times New Roman"/>
      <w:i/>
      <w:iCs/>
      <w:color w:val="00565B"/>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uiPriority w:val="99"/>
    <w:rsid w:val="00831720"/>
    <w:pPr>
      <w:spacing w:line="240" w:lineRule="exact"/>
    </w:pPr>
    <w:rPr>
      <w:vertAlign w:val="superscript"/>
    </w:rPr>
  </w:style>
  <w:style w:type="character" w:customStyle="1" w:styleId="ListParagraphChar">
    <w:name w:val="List Paragraph Char"/>
    <w:aliases w:val="Heading 2_sj Char,List Paragraph1 Char,Fünf Char"/>
    <w:basedOn w:val="DefaultParagraphFont"/>
    <w:link w:val="ListParagraph"/>
    <w:uiPriority w:val="34"/>
    <w:rsid w:val="00831720"/>
    <w:rPr>
      <w:rFonts w:ascii="Calibri" w:hAnsi="Calibri" w:cs="Times New Roman"/>
    </w:rPr>
  </w:style>
  <w:style w:type="paragraph" w:styleId="Revision">
    <w:name w:val="Revision"/>
    <w:hidden/>
    <w:uiPriority w:val="99"/>
    <w:semiHidden/>
    <w:rsid w:val="00414E39"/>
    <w:pPr>
      <w:spacing w:after="0" w:line="240" w:lineRule="auto"/>
    </w:pPr>
  </w:style>
  <w:style w:type="character" w:customStyle="1" w:styleId="SingleTxtGChar">
    <w:name w:val="_ Single Txt_G Char"/>
    <w:link w:val="SingleTxtG"/>
    <w:locked/>
    <w:rsid w:val="00816F3B"/>
  </w:style>
  <w:style w:type="paragraph" w:customStyle="1" w:styleId="SingleTxtG">
    <w:name w:val="_ Single Txt_G"/>
    <w:basedOn w:val="Normal"/>
    <w:link w:val="SingleTxtGChar"/>
    <w:rsid w:val="00816F3B"/>
    <w:pPr>
      <w:suppressAutoHyphens/>
      <w:spacing w:after="120" w:line="240" w:lineRule="atLeast"/>
      <w:ind w:left="1134" w:right="1134"/>
      <w:jc w:val="both"/>
    </w:pPr>
  </w:style>
  <w:style w:type="character" w:styleId="Strong">
    <w:name w:val="Strong"/>
    <w:basedOn w:val="DefaultParagraphFont"/>
    <w:uiPriority w:val="22"/>
    <w:qFormat/>
    <w:rsid w:val="006546A2"/>
    <w:rPr>
      <w:b/>
      <w:bCs/>
    </w:rPr>
  </w:style>
  <w:style w:type="paragraph" w:styleId="EndnoteText">
    <w:name w:val="endnote text"/>
    <w:basedOn w:val="Normal"/>
    <w:link w:val="EndnoteTextChar"/>
    <w:uiPriority w:val="99"/>
    <w:unhideWhenUsed/>
    <w:rsid w:val="00F13662"/>
    <w:pPr>
      <w:spacing w:after="0" w:line="240" w:lineRule="auto"/>
    </w:pPr>
    <w:rPr>
      <w:sz w:val="20"/>
      <w:szCs w:val="20"/>
    </w:rPr>
  </w:style>
  <w:style w:type="character" w:customStyle="1" w:styleId="EndnoteTextChar">
    <w:name w:val="Endnote Text Char"/>
    <w:basedOn w:val="DefaultParagraphFont"/>
    <w:link w:val="EndnoteText"/>
    <w:uiPriority w:val="99"/>
    <w:rsid w:val="00F13662"/>
    <w:rPr>
      <w:sz w:val="20"/>
      <w:szCs w:val="20"/>
    </w:rPr>
  </w:style>
  <w:style w:type="character" w:styleId="EndnoteReference">
    <w:name w:val="endnote reference"/>
    <w:basedOn w:val="DefaultParagraphFont"/>
    <w:uiPriority w:val="99"/>
    <w:semiHidden/>
    <w:unhideWhenUsed/>
    <w:rsid w:val="00F13662"/>
    <w:rPr>
      <w:vertAlign w:val="superscript"/>
    </w:rPr>
  </w:style>
  <w:style w:type="paragraph" w:styleId="TOC3">
    <w:name w:val="toc 3"/>
    <w:basedOn w:val="Normal"/>
    <w:next w:val="Normal"/>
    <w:autoRedefine/>
    <w:uiPriority w:val="39"/>
    <w:unhideWhenUsed/>
    <w:rsid w:val="004157EF"/>
    <w:pPr>
      <w:tabs>
        <w:tab w:val="right" w:leader="dot" w:pos="9016"/>
      </w:tabs>
      <w:spacing w:after="100"/>
      <w:ind w:left="440"/>
    </w:pPr>
    <w:rPr>
      <w:rFonts w:ascii="Verdana" w:hAnsi="Verdana"/>
      <w:noProof/>
    </w:rPr>
  </w:style>
  <w:style w:type="paragraph" w:styleId="BodyText">
    <w:name w:val="Body Text"/>
    <w:basedOn w:val="Normal"/>
    <w:link w:val="BodyTextChar"/>
    <w:uiPriority w:val="1"/>
    <w:qFormat/>
    <w:rsid w:val="007531C3"/>
    <w:pPr>
      <w:widowControl w:val="0"/>
      <w:spacing w:after="0" w:line="240" w:lineRule="auto"/>
      <w:ind w:left="173"/>
    </w:pPr>
    <w:rPr>
      <w:rFonts w:ascii="DaxlinePro-Regular" w:eastAsia="DaxlinePro-Regular" w:hAnsi="DaxlinePro-Regular" w:cstheme="minorBidi"/>
      <w:sz w:val="18"/>
      <w:szCs w:val="18"/>
      <w:lang w:val="en-US"/>
    </w:rPr>
  </w:style>
  <w:style w:type="character" w:customStyle="1" w:styleId="BodyTextChar">
    <w:name w:val="Body Text Char"/>
    <w:basedOn w:val="DefaultParagraphFont"/>
    <w:link w:val="BodyText"/>
    <w:uiPriority w:val="1"/>
    <w:rsid w:val="007531C3"/>
    <w:rPr>
      <w:rFonts w:ascii="DaxlinePro-Regular" w:eastAsia="DaxlinePro-Regular" w:hAnsi="DaxlinePro-Regular"/>
      <w:sz w:val="18"/>
      <w:szCs w:val="18"/>
      <w:lang w:val="en-US"/>
    </w:rPr>
  </w:style>
  <w:style w:type="paragraph" w:customStyle="1" w:styleId="TableParagraph">
    <w:name w:val="Table Paragraph"/>
    <w:basedOn w:val="Normal"/>
    <w:uiPriority w:val="1"/>
    <w:qFormat/>
    <w:rsid w:val="007531C3"/>
    <w:pPr>
      <w:widowControl w:val="0"/>
      <w:spacing w:after="0" w:line="240" w:lineRule="auto"/>
    </w:pPr>
    <w:rPr>
      <w:rFonts w:ascii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1788">
      <w:bodyDiv w:val="1"/>
      <w:marLeft w:val="0"/>
      <w:marRight w:val="0"/>
      <w:marTop w:val="0"/>
      <w:marBottom w:val="0"/>
      <w:divBdr>
        <w:top w:val="none" w:sz="0" w:space="0" w:color="auto"/>
        <w:left w:val="none" w:sz="0" w:space="0" w:color="auto"/>
        <w:bottom w:val="none" w:sz="0" w:space="0" w:color="auto"/>
        <w:right w:val="none" w:sz="0" w:space="0" w:color="auto"/>
      </w:divBdr>
    </w:div>
    <w:div w:id="443692615">
      <w:bodyDiv w:val="1"/>
      <w:marLeft w:val="0"/>
      <w:marRight w:val="0"/>
      <w:marTop w:val="0"/>
      <w:marBottom w:val="0"/>
      <w:divBdr>
        <w:top w:val="none" w:sz="0" w:space="0" w:color="auto"/>
        <w:left w:val="none" w:sz="0" w:space="0" w:color="auto"/>
        <w:bottom w:val="none" w:sz="0" w:space="0" w:color="auto"/>
        <w:right w:val="none" w:sz="0" w:space="0" w:color="auto"/>
      </w:divBdr>
    </w:div>
    <w:div w:id="1195342214">
      <w:bodyDiv w:val="1"/>
      <w:marLeft w:val="0"/>
      <w:marRight w:val="0"/>
      <w:marTop w:val="0"/>
      <w:marBottom w:val="0"/>
      <w:divBdr>
        <w:top w:val="none" w:sz="0" w:space="0" w:color="auto"/>
        <w:left w:val="none" w:sz="0" w:space="0" w:color="auto"/>
        <w:bottom w:val="none" w:sz="0" w:space="0" w:color="auto"/>
        <w:right w:val="none" w:sz="0" w:space="0" w:color="auto"/>
      </w:divBdr>
    </w:div>
    <w:div w:id="1632708113">
      <w:bodyDiv w:val="1"/>
      <w:marLeft w:val="0"/>
      <w:marRight w:val="0"/>
      <w:marTop w:val="0"/>
      <w:marBottom w:val="0"/>
      <w:divBdr>
        <w:top w:val="none" w:sz="0" w:space="0" w:color="auto"/>
        <w:left w:val="none" w:sz="0" w:space="0" w:color="auto"/>
        <w:bottom w:val="none" w:sz="0" w:space="0" w:color="auto"/>
        <w:right w:val="none" w:sz="0" w:space="0" w:color="auto"/>
      </w:divBdr>
    </w:div>
    <w:div w:id="1803620770">
      <w:bodyDiv w:val="1"/>
      <w:marLeft w:val="0"/>
      <w:marRight w:val="0"/>
      <w:marTop w:val="0"/>
      <w:marBottom w:val="0"/>
      <w:divBdr>
        <w:top w:val="none" w:sz="0" w:space="0" w:color="auto"/>
        <w:left w:val="none" w:sz="0" w:space="0" w:color="auto"/>
        <w:bottom w:val="none" w:sz="0" w:space="0" w:color="auto"/>
        <w:right w:val="none" w:sz="0" w:space="0" w:color="auto"/>
      </w:divBdr>
    </w:div>
    <w:div w:id="2009138162">
      <w:bodyDiv w:val="1"/>
      <w:marLeft w:val="0"/>
      <w:marRight w:val="0"/>
      <w:marTop w:val="0"/>
      <w:marBottom w:val="0"/>
      <w:divBdr>
        <w:top w:val="none" w:sz="0" w:space="0" w:color="auto"/>
        <w:left w:val="none" w:sz="0" w:space="0" w:color="auto"/>
        <w:bottom w:val="none" w:sz="0" w:space="0" w:color="auto"/>
        <w:right w:val="none" w:sz="0" w:space="0" w:color="auto"/>
      </w:divBdr>
    </w:div>
    <w:div w:id="2067097602">
      <w:bodyDiv w:val="1"/>
      <w:marLeft w:val="0"/>
      <w:marRight w:val="0"/>
      <w:marTop w:val="0"/>
      <w:marBottom w:val="0"/>
      <w:divBdr>
        <w:top w:val="none" w:sz="0" w:space="0" w:color="auto"/>
        <w:left w:val="none" w:sz="0" w:space="0" w:color="auto"/>
        <w:bottom w:val="none" w:sz="0" w:space="0" w:color="auto"/>
        <w:right w:val="none" w:sz="0" w:space="0" w:color="auto"/>
      </w:divBdr>
    </w:div>
    <w:div w:id="21288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a.europa.eu/en/publication/2017/independent-living-outcomes" TargetMode="External"/><Relationship Id="rId18" Type="http://schemas.openxmlformats.org/officeDocument/2006/relationships/hyperlink" Target="https://www.vlada.cz/assets/ppov/vvzpo/National-Plan-for-the-Promotion-of-Equal-Opportunities-for-Persons-with-Disabilities-2015_2020.docx" TargetMode="External"/><Relationship Id="rId26" Type="http://schemas.openxmlformats.org/officeDocument/2006/relationships/hyperlink" Target="http://www.propisi.hr/print.php?id=10984" TargetMode="External"/><Relationship Id="rId39" Type="http://schemas.openxmlformats.org/officeDocument/2006/relationships/hyperlink" Target="https://activeageing.gov.mt/en/Documents/Book%20design%20english.pdf" TargetMode="External"/><Relationship Id="rId21" Type="http://schemas.openxmlformats.org/officeDocument/2006/relationships/hyperlink" Target="http://www.mpsv.cz/files/clanky/14311/APN_NSOPD_2012-2015.pdf" TargetMode="External"/><Relationship Id="rId34" Type="http://schemas.openxmlformats.org/officeDocument/2006/relationships/hyperlink" Target="http://www.lavoro.gov.it/documenti-e-norme/normative/Documents/2013/Decreto_del_Presidente_della_Repubblica_4_ottobre_2013.pdf" TargetMode="External"/><Relationship Id="rId42" Type="http://schemas.openxmlformats.org/officeDocument/2006/relationships/hyperlink" Target="http://www.employment.gov.sk/files/legislativa/dokumenty-zoznamy-pod/strategia-deinstitucionalizacie-systemu-socialnych-sluzieb-nahradnej-starostlivosti-1.pdf" TargetMode="External"/><Relationship Id="rId47" Type="http://schemas.openxmlformats.org/officeDocument/2006/relationships/hyperlink" Target="http://www.ohchr.org/Documents/HRBodies/CRPD/CRPD.C.18.R.1-ENG.doc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trategy.bg/FileHandler.ashx?fileId=2353" TargetMode="External"/><Relationship Id="rId29" Type="http://schemas.openxmlformats.org/officeDocument/2006/relationships/hyperlink" Target="http://fszk.hu/wp-content/uploads/2016/03/Koncepcio_kivaltas_2015.pdf" TargetMode="External"/><Relationship Id="rId11" Type="http://schemas.openxmlformats.org/officeDocument/2006/relationships/hyperlink" Target="https://rm.coe.int/16806da8a9" TargetMode="External"/><Relationship Id="rId24" Type="http://schemas.openxmlformats.org/officeDocument/2006/relationships/hyperlink" Target="http://www.ypakp.gr/uploads/docs/7695.pdf" TargetMode="External"/><Relationship Id="rId32" Type="http://schemas.openxmlformats.org/officeDocument/2006/relationships/hyperlink" Target="http://aosz.hu/wp-content/uploads/2015/10/OFP-IT.pdf" TargetMode="External"/><Relationship Id="rId37" Type="http://schemas.openxmlformats.org/officeDocument/2006/relationships/hyperlink" Target="http://www.mk.gov.lv/lv/mk/tap/?pid=40287158&amp;mode=mk&amp;date=2013-11-19" TargetMode="External"/><Relationship Id="rId40" Type="http://schemas.openxmlformats.org/officeDocument/2006/relationships/hyperlink" Target="http://www.anpd.gov.ro/web/wp-content/uploads/2016/09/MO-nr-737Bis-din-22-septembrie-2016.pdf" TargetMode="External"/><Relationship Id="rId45" Type="http://schemas.openxmlformats.org/officeDocument/2006/relationships/hyperlink" Target="http://www.ohchr.org/Documents/HRBodies/CRPD/CRPD.C.18.R.1-ENG.docx" TargetMode="External"/><Relationship Id="rId5" Type="http://schemas.openxmlformats.org/officeDocument/2006/relationships/webSettings" Target="webSettings.xml"/><Relationship Id="rId15" Type="http://schemas.openxmlformats.org/officeDocument/2006/relationships/hyperlink" Target="https://broschuerenservice.sozialministerium.at/Home/Download?publicationId=225" TargetMode="External"/><Relationship Id="rId23" Type="http://schemas.openxmlformats.org/officeDocument/2006/relationships/hyperlink" Target="http://www.psychargos.gov.gr/Documents2/%CE%9D%CE%95%CE%91/%CE%A8%CE%A5%CE%A7%CE%91%CE%A1%CE%93%CE%A9%CE%A3%20%CE%93%27%20%282011-2020%29.pdf" TargetMode="External"/><Relationship Id="rId28" Type="http://schemas.openxmlformats.org/officeDocument/2006/relationships/hyperlink" Target="http://fszk.hu/wp-content/uploads/2015/06/Kormanyhatarozat-es-Strategia-a-fogyatekos-szemelyek-szamara-apolast-gondozast-nyujto-szocialis-intezmenyi-ferohelyek-kivaltasarol.pdf" TargetMode="External"/><Relationship Id="rId36" Type="http://schemas.openxmlformats.org/officeDocument/2006/relationships/hyperlink" Target="http://www.copas.lu/wp-content/uploads/reforme-psychiatrie-politique-sante-mentale-2013.pdf" TargetMode="External"/><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vlada.cz/assets/ppov/vvzpo/dokumenty/Narodni-plan-OZP-2015-2020_1.pdf" TargetMode="External"/><Relationship Id="rId31" Type="http://schemas.openxmlformats.org/officeDocument/2006/relationships/hyperlink" Target="http://www.kormany.hu/download/b/b5/20000/Fogyat%C3%A9koss%C3%A1g%C3%BCgyi%20Program.pdf" TargetMode="External"/><Relationship Id="rId44" Type="http://schemas.openxmlformats.org/officeDocument/2006/relationships/hyperlink" Target="http://www.employment.gov.sk/files/slovensky/rodina-socialna-pomoc/tazke-zdravotne-postihnutie/narodny-program-rozvoja-zivotnych-podmienok-osob-so-zdravotnym-postihnutim-roky-2014-2020.pdf" TargetMode="External"/><Relationship Id="rId4" Type="http://schemas.openxmlformats.org/officeDocument/2006/relationships/settings" Target="settings.xml"/><Relationship Id="rId9" Type="http://schemas.openxmlformats.org/officeDocument/2006/relationships/hyperlink" Target="http://europa.eu/" TargetMode="External"/><Relationship Id="rId14" Type="http://schemas.openxmlformats.org/officeDocument/2006/relationships/hyperlink" Target="http://www.ohchr.org/Documents/HRBodies/CRPD/CRPD.C.18.R.1-ENG.docx" TargetMode="External"/><Relationship Id="rId22" Type="http://schemas.openxmlformats.org/officeDocument/2006/relationships/hyperlink" Target="https://www.sm.ee/sites/default/files/content-editors/eesmargid_ja_tegevused/Sotsiaalhoolekanne/Puudega_inimetele/special_care_2014-2020.pdf" TargetMode="External"/><Relationship Id="rId27" Type="http://schemas.openxmlformats.org/officeDocument/2006/relationships/hyperlink" Target="http://www.mdomsp.hr/UserDocsImages/zgrbac/Operativni_plan_deinstitucionalizacije_i_transformacije_domova_socijalne_skrbi_i_drugih_pravnih_osoba_koje_obavljaju_%20djelatnost_socijalne_skrbi_u_Republici_Hrvatskoj_2014._%20%E2%80%93_%202016..pdf" TargetMode="External"/><Relationship Id="rId30" Type="http://schemas.openxmlformats.org/officeDocument/2006/relationships/hyperlink" Target="http://www.kormany.hu/download/c/e4/60000/NDP_2015-2025.pdf" TargetMode="External"/><Relationship Id="rId35" Type="http://schemas.openxmlformats.org/officeDocument/2006/relationships/hyperlink" Target="http://www3.lrs.lt/pls/inter3/dokpaieska.showdoc_l?p_id=466003&amp;p_tr2=2" TargetMode="External"/><Relationship Id="rId43" Type="http://schemas.openxmlformats.org/officeDocument/2006/relationships/hyperlink" Target="http://www.employment.gov.sk/files/slovensky/rodina-socialna-pomoc/socialne-sluzby/nprss-2015-2020.pdf" TargetMode="External"/><Relationship Id="rId48" Type="http://schemas.openxmlformats.org/officeDocument/2006/relationships/hyperlink" Target="http://www.europe.ohchr.org/documents/Publications/getting_a_life.pdf"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fra.europa.eu/en/publication/2017/independent-living-funding" TargetMode="External"/><Relationship Id="rId17" Type="http://schemas.openxmlformats.org/officeDocument/2006/relationships/hyperlink" Target="http://www.mlsi.gov.cy/mlsi/dsid/dsid.nsf/A8A5F20B4E23E622C2257A7C002CEBC5/$file/Disability%20National%20Action%20Plan%202013-2015.doc" TargetMode="External"/><Relationship Id="rId25" Type="http://schemas.openxmlformats.org/officeDocument/2006/relationships/hyperlink" Target="https://www.thl.fi/en/web/vammaispalvelujen-kasikirja/itsenaisen-elaman-tuki/asuminen/kehitysvammaisten-asumisohjelma-kehas" TargetMode="External"/><Relationship Id="rId33" Type="http://schemas.openxmlformats.org/officeDocument/2006/relationships/hyperlink" Target="http://www.hse.ie/timetomoveon/" TargetMode="External"/><Relationship Id="rId38" Type="http://schemas.openxmlformats.org/officeDocument/2006/relationships/hyperlink" Target="http://polsis.mk.gov.lv/LoadAtt/file21965.doc" TargetMode="External"/><Relationship Id="rId46" Type="http://schemas.openxmlformats.org/officeDocument/2006/relationships/hyperlink" Target="https://rm.coe.int/16806da7a3" TargetMode="External"/><Relationship Id="rId20" Type="http://schemas.openxmlformats.org/officeDocument/2006/relationships/hyperlink" Target="http://www.mpsv.cz/files/clanky/17082/strategie_soc_zaclenovani_2014-20.pdf" TargetMode="External"/><Relationship Id="rId41" Type="http://schemas.openxmlformats.org/officeDocument/2006/relationships/hyperlink" Target="http://www.mmuncii.ro/j33/images/Documente/Proiecte_in_dezbatere/2014/2014-12-29_HG_SIncluziune-Anexa1.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26" Type="http://schemas.openxmlformats.org/officeDocument/2006/relationships/hyperlink" Target="https://ec.europa.eu/info/funding-tenders/european-structural-and-investment-funds_en" TargetMode="External"/><Relationship Id="rId21" Type="http://schemas.openxmlformats.org/officeDocument/2006/relationships/hyperlink" Target="http://tbinternet.ohchr.org/_layouts/treatybodyexternal/TBSearch.aspx?TreatyID=4&amp;DocTypeID=5" TargetMode="External"/><Relationship Id="rId42" Type="http://schemas.openxmlformats.org/officeDocument/2006/relationships/hyperlink" Target="http://www.strategy.bg/FileHandler.ashx?fileId=1349" TargetMode="External"/><Relationship Id="rId47" Type="http://schemas.openxmlformats.org/officeDocument/2006/relationships/hyperlink" Target="http://www.strategy.bg/FileHandler.ashx?fileId=5614" TargetMode="External"/><Relationship Id="rId63" Type="http://schemas.openxmlformats.org/officeDocument/2006/relationships/hyperlink" Target="https://www.sm.ee/sites/default/files/content-editors/eesmargid_ja_tegevused/Sotsiaalhoolekanne/Puudega_inimetele/special_care_2014-2020.pdf" TargetMode="External"/><Relationship Id="rId68" Type="http://schemas.openxmlformats.org/officeDocument/2006/relationships/hyperlink" Target="https://www.humanrights.dk/activities/our-work-denmark/disability/10-greatest-challenges" TargetMode="External"/><Relationship Id="rId84" Type="http://schemas.openxmlformats.org/officeDocument/2006/relationships/hyperlink" Target="http://www.posi.hr/index.php?option=com_joomdoc&amp;task=doc_download&amp;gid=290&amp;Itemid=98" TargetMode="External"/><Relationship Id="rId89" Type="http://schemas.openxmlformats.org/officeDocument/2006/relationships/hyperlink" Target="http://www.ypakp.gr/uploads/docs/7696.zip" TargetMode="External"/><Relationship Id="rId16" Type="http://schemas.openxmlformats.org/officeDocument/2006/relationships/hyperlink" Target="http://www.disability-europe.net/theme/social-protection" TargetMode="External"/><Relationship Id="rId107" Type="http://schemas.openxmlformats.org/officeDocument/2006/relationships/hyperlink" Target="http://www.ohchr.org/Documents/Publications/Human_rights_indicators_en.pdf" TargetMode="External"/><Relationship Id="rId11" Type="http://schemas.openxmlformats.org/officeDocument/2006/relationships/hyperlink" Target="http://fra.europa.eu/en/publication/2013/legal-capacity-persons-intellectual-disabilities-and-persons-mental-health-problems" TargetMode="External"/><Relationship Id="rId32" Type="http://schemas.openxmlformats.org/officeDocument/2006/relationships/hyperlink" Target="http://www.espa.gr/elibrary/PA_ESPA_2014_2020.pdf" TargetMode="External"/><Relationship Id="rId37" Type="http://schemas.openxmlformats.org/officeDocument/2006/relationships/hyperlink" Target="https://documents-dds-ny.un.org/doc/UNDOC/GEN/G15/226/55/PDF/G1522655.pdf?OpenElement" TargetMode="External"/><Relationship Id="rId53" Type="http://schemas.openxmlformats.org/officeDocument/2006/relationships/hyperlink" Target="http://www.ohchr.org/Documents/HRBodies/CRPD/CRPD.C.18.R.1-ENG.docx" TargetMode="External"/><Relationship Id="rId58" Type="http://schemas.openxmlformats.org/officeDocument/2006/relationships/hyperlink" Target="http://www.riksdagen.se/sv/Dokument-Lagar/Lagar/Svenskforfattningssamling/Lag-1997724-om-avveckling-a_sfs-1997-724/" TargetMode="External"/><Relationship Id="rId74" Type="http://schemas.openxmlformats.org/officeDocument/2006/relationships/hyperlink" Target="http://www.esn-eu.org/news/580/index.html" TargetMode="External"/><Relationship Id="rId79" Type="http://schemas.openxmlformats.org/officeDocument/2006/relationships/hyperlink" Target="http://tbinternet.ohchr.org/_layouts/treatybodyexternal/Download.aspx?symbolno=CRPD%2fC%2fDEU%2fCO%2f1&amp;Lang=en" TargetMode="External"/><Relationship Id="rId102" Type="http://schemas.openxmlformats.org/officeDocument/2006/relationships/hyperlink" Target="http://fra.europa.eu/en/publication/2012/involuntary-placement-and-involuntary-treatment-persons-mental-health-problems" TargetMode="External"/><Relationship Id="rId5" Type="http://schemas.openxmlformats.org/officeDocument/2006/relationships/hyperlink" Target="https://www.coe.int/t/commissioner/source/prems/RightsToLiveInCommunity-GBR.pdf" TargetMode="External"/><Relationship Id="rId90" Type="http://schemas.openxmlformats.org/officeDocument/2006/relationships/hyperlink" Target="http://www.ohchr.org/Documents/HRBodies/CRPD/CRPD.C.18.R.1-ENG.docx" TargetMode="External"/><Relationship Id="rId95" Type="http://schemas.openxmlformats.org/officeDocument/2006/relationships/hyperlink" Target="http://www.bghelsinki.org/en/news/press/single/delayed-reform-and-implementation-rights-persons-disabilities-bulgaria/" TargetMode="External"/><Relationship Id="rId22" Type="http://schemas.openxmlformats.org/officeDocument/2006/relationships/hyperlink" Target="http://www.europe.ohchr.org/documents/Publications/getting_a_life.pdf" TargetMode="External"/><Relationship Id="rId27" Type="http://schemas.openxmlformats.org/officeDocument/2006/relationships/hyperlink" Target="http://www.europarl.europa.eu/RegData/etudes/IDAN/2016/571371/IPOL_IDA(2016)571371_EN.pdf" TargetMode="External"/><Relationship Id="rId43" Type="http://schemas.openxmlformats.org/officeDocument/2006/relationships/hyperlink" Target="https://www.sm.ee/sites/default/files/content-editors/eesmargid_ja_tegevused/Sotsiaalhoolekanne/Puudega_inimetele/special_care_2014-2020.pdf" TargetMode="External"/><Relationship Id="rId48" Type="http://schemas.openxmlformats.org/officeDocument/2006/relationships/hyperlink" Target="http://www.vlada.cz/assets/ppov/vvzpo/dokumenty/Narodni-plan-OZP-2015-2020_1.pdf" TargetMode="External"/><Relationship Id="rId64" Type="http://schemas.openxmlformats.org/officeDocument/2006/relationships/hyperlink" Target="http://www.ohchr.org/Documents/HRBodies/CRPD/CRPD.C.18.R.1-ENG.docx" TargetMode="External"/><Relationship Id="rId69" Type="http://schemas.openxmlformats.org/officeDocument/2006/relationships/hyperlink" Target="http://www.nordicwelfare.org/PageFiles/25132/The-right-to-a-home-of-my-own.pdf" TargetMode="External"/><Relationship Id="rId80" Type="http://schemas.openxmlformats.org/officeDocument/2006/relationships/hyperlink" Target="http://www.riksdagen.se/sv/Dokument-Lagar/Lagar/Svenskforfattningssamling/Socialtjanstlag-2001453_sfs-2001-453/" TargetMode="External"/><Relationship Id="rId85" Type="http://schemas.openxmlformats.org/officeDocument/2006/relationships/hyperlink" Target="http://www.ypakp.gr/uploads/docs/7696.zip" TargetMode="External"/><Relationship Id="rId12" Type="http://schemas.openxmlformats.org/officeDocument/2006/relationships/hyperlink" Target="http://fra.europa.eu/en/publications-and-resources/data-and-maps/intobsun?mdq1=dataset" TargetMode="External"/><Relationship Id="rId17" Type="http://schemas.openxmlformats.org/officeDocument/2006/relationships/hyperlink" Target="http://www.codex.vlaanderen.be/Portals/Codex/documenten/1024475.html" TargetMode="External"/><Relationship Id="rId33" Type="http://schemas.openxmlformats.org/officeDocument/2006/relationships/hyperlink" Target="http://www.stm.fi/c/document_library/get_file?folderId=5197397&amp;name=DLFE-24004.pdf" TargetMode="External"/><Relationship Id="rId38" Type="http://schemas.openxmlformats.org/officeDocument/2006/relationships/hyperlink" Target="https://documents-dds-ny.un.org/doc/UNDOC/GEN/G15/226/55/PDF/G1522655.pdf?OpenElement" TargetMode="External"/><Relationship Id="rId59" Type="http://schemas.openxmlformats.org/officeDocument/2006/relationships/hyperlink" Target="http://www.strategy.bg/FileHandler.ashx?fileId=4326" TargetMode="External"/><Relationship Id="rId103" Type="http://schemas.openxmlformats.org/officeDocument/2006/relationships/hyperlink" Target="http://fra.europa.eu/en/publication/2012/choice-and-control-right-independent-living" TargetMode="External"/><Relationship Id="rId108" Type="http://schemas.openxmlformats.org/officeDocument/2006/relationships/hyperlink" Target="http://fra.europa.eu/en/publication/2017/indicators-article-19-crpd" TargetMode="External"/><Relationship Id="rId54" Type="http://schemas.openxmlformats.org/officeDocument/2006/relationships/hyperlink" Target="http://www.un.org/ga/search/view_doc.asp?symbol=A/HRC/34/58" TargetMode="External"/><Relationship Id="rId70" Type="http://schemas.openxmlformats.org/officeDocument/2006/relationships/hyperlink" Target="http://www.kormany.hu/download/0/38/30000/Szoci%C3%A1lis%20ell%C3%A1t%C3%A1s.pdf" TargetMode="External"/><Relationship Id="rId75" Type="http://schemas.openxmlformats.org/officeDocument/2006/relationships/hyperlink" Target="http://www.strategy.bg/FileHandler.ashx?fileId=5614" TargetMode="External"/><Relationship Id="rId91" Type="http://schemas.openxmlformats.org/officeDocument/2006/relationships/hyperlink" Target="http://www.retsinformation.dk/Forms/R0710.aspx?id=135619" TargetMode="External"/><Relationship Id="rId96" Type="http://schemas.openxmlformats.org/officeDocument/2006/relationships/hyperlink" Target="file:///C:\Users\melzeut\AppData\Local\Microsoft\Windows\INetCache\Content.Outlook\DBSULXN5\Bulgarian%20National%20Network%20for%20Children%20(2016),%20Report%20card%202016.%20What%20is%20the%20average%20government%20score%20for%20childcare" TargetMode="External"/><Relationship Id="rId1" Type="http://schemas.openxmlformats.org/officeDocument/2006/relationships/hyperlink" Target="http://www.europe.ohchr.org/documents/Publications/getting_a_life.pdf" TargetMode="External"/><Relationship Id="rId6" Type="http://schemas.openxmlformats.org/officeDocument/2006/relationships/hyperlink" Target="http://www.ohchr.org/Documents/HRBodies/CRPD/CRPD.C.18.R.1-ENG.docx" TargetMode="External"/><Relationship Id="rId15" Type="http://schemas.openxmlformats.org/officeDocument/2006/relationships/hyperlink" Target="http://www.enil.eu/wp-content/uploads/2012/06/Personal-Assistance-Service-in-Europe-Report-2015.pdf" TargetMode="External"/><Relationship Id="rId23" Type="http://schemas.openxmlformats.org/officeDocument/2006/relationships/hyperlink" Target="https://www.opensocietyfoundations.org/sites/default/files/europe-community-living-20120507.pdf" TargetMode="External"/><Relationship Id="rId28" Type="http://schemas.openxmlformats.org/officeDocument/2006/relationships/hyperlink" Target="http://eur-lex.europa.eu/legal-content/EN/TXT/?uri=CELEX%3A32010D0048" TargetMode="External"/><Relationship Id="rId36" Type="http://schemas.openxmlformats.org/officeDocument/2006/relationships/hyperlink" Target="http://enil.eu/wp-content/uploads/2016/06/Working-Together-to-Close-the-Gap.pdf" TargetMode="External"/><Relationship Id="rId49" Type="http://schemas.openxmlformats.org/officeDocument/2006/relationships/hyperlink" Target="http://www.stm.fi/julkaisut/nayta/-/_julkaisu/1839361" TargetMode="External"/><Relationship Id="rId57" Type="http://schemas.openxmlformats.org/officeDocument/2006/relationships/hyperlink" Target="http://www.irishhealth.com/article.html?id=18878&amp;ss=Programme%20for%20Government-%20health" TargetMode="External"/><Relationship Id="rId106" Type="http://schemas.openxmlformats.org/officeDocument/2006/relationships/hyperlink" Target="http://fra.europa.eu/en/project/2014/rights-persons-disabilities-right-independent-living" TargetMode="External"/><Relationship Id="rId10" Type="http://schemas.openxmlformats.org/officeDocument/2006/relationships/hyperlink" Target="http://www.ohchr.org/EN/HRBodies/HRC/RegularSessions/Session28/Documents/A_HRC_28_37_ENG.doc" TargetMode="External"/><Relationship Id="rId31" Type="http://schemas.openxmlformats.org/officeDocument/2006/relationships/hyperlink" Target="https://ec.europa.eu/info/publications/2017-european-semester-country-specific-recommendations-commission-recommendations_en" TargetMode="External"/><Relationship Id="rId44" Type="http://schemas.openxmlformats.org/officeDocument/2006/relationships/hyperlink" Target="http://www.stm.fi/c/document_library/get_file?folderId=5197397&amp;name=DLFE-24004.pdf" TargetMode="External"/><Relationship Id="rId52" Type="http://schemas.openxmlformats.org/officeDocument/2006/relationships/hyperlink" Target="http://julkaisut.valtioneuvosto.fi/handle/10024/74818" TargetMode="External"/><Relationship Id="rId60" Type="http://schemas.openxmlformats.org/officeDocument/2006/relationships/hyperlink" Target="http://fszk.hu/fszk/forrasok/jogszabalyi-kornyezet/Kormanyhatarozat-es-Strategia-a-fogyatekos-szemelyek-szamara-apolast-gondozast-nyujto-szocialis-intezmenyi-ferohelyek-kivaltasarol.pdf" TargetMode="External"/><Relationship Id="rId65" Type="http://schemas.openxmlformats.org/officeDocument/2006/relationships/hyperlink" Target="http://www.ohchr.org/Documents/HRBodies/CRPD/CRPD.C.18.R.1-ENG.docx" TargetMode="External"/><Relationship Id="rId73" Type="http://schemas.openxmlformats.org/officeDocument/2006/relationships/hyperlink" Target="http://fra.europa.eu/en/project/2014/rights-persons-disabilities-right-independent-living" TargetMode="External"/><Relationship Id="rId78" Type="http://schemas.openxmlformats.org/officeDocument/2006/relationships/hyperlink" Target="http://tbinternet.ohchr.org/_layouts/treatybodyexternal/Download.aspx?symbolno=CRPD%2fC%2fAUT%2fCO%2f1&amp;Lang=en" TargetMode="External"/><Relationship Id="rId81" Type="http://schemas.openxmlformats.org/officeDocument/2006/relationships/hyperlink" Target="http://www.riksdagen.se/sv/Dokument-Lagar/Lagar/Svenskforfattningssamling/Halso--och-sjukvardslag-1982_sfs-1982-763/" TargetMode="External"/><Relationship Id="rId86" Type="http://schemas.openxmlformats.org/officeDocument/2006/relationships/hyperlink" Target="http://www.ohchr.org/Documents/HRBodies/CRPD/CRPD.C.18.R.1-ENG.docx" TargetMode="External"/><Relationship Id="rId94" Type="http://schemas.openxmlformats.org/officeDocument/2006/relationships/hyperlink" Target="http://fra.europa.eu/en/project/2014/rights-persons-disabilities-right-independent-living" TargetMode="External"/><Relationship Id="rId99" Type="http://schemas.openxmlformats.org/officeDocument/2006/relationships/hyperlink" Target="http://fra.europa.eu/en/publication/2014/right-political-participation-persons-disabilities-human-rights-indicators" TargetMode="External"/><Relationship Id="rId101" Type="http://schemas.openxmlformats.org/officeDocument/2006/relationships/hyperlink" Target="http://fra.europa.eu/en/publication/2013/legal-capacity-persons-intellectual-disabilities-and-persons-mental-health-problems" TargetMode="External"/><Relationship Id="rId4" Type="http://schemas.openxmlformats.org/officeDocument/2006/relationships/hyperlink" Target="http://www.deinstitutionalisationguide.eu/" TargetMode="External"/><Relationship Id="rId9" Type="http://schemas.openxmlformats.org/officeDocument/2006/relationships/hyperlink" Target="http://www.ohchr.org/Documents/HRBodies/CRPD/CRPD.C.18.R.1-ENG.docx" TargetMode="External"/><Relationship Id="rId13" Type="http://schemas.openxmlformats.org/officeDocument/2006/relationships/hyperlink" Target="http://eur-lex.europa.eu/legal-content/EN/TXT/?uri=CELEX%3A32010D0048" TargetMode="External"/><Relationship Id="rId18" Type="http://schemas.openxmlformats.org/officeDocument/2006/relationships/hyperlink" Target="http://www.gazzettaufficiale.it/eli/id/2016/06/24/16G00125/sg" TargetMode="External"/><Relationship Id="rId39" Type="http://schemas.openxmlformats.org/officeDocument/2006/relationships/hyperlink" Target="https://communitylivingforeurope.org/" TargetMode="External"/><Relationship Id="rId109" Type="http://schemas.openxmlformats.org/officeDocument/2006/relationships/hyperlink" Target="http://www.ohchr.org/Documents/Publications/Human_rights_indicators_en.pdf" TargetMode="External"/><Relationship Id="rId34" Type="http://schemas.openxmlformats.org/officeDocument/2006/relationships/hyperlink" Target="https://www.thl.fi/en/web/vammaispalvelujen-kasikirja/itsenaisen-elaman-tuki/asuminen/kehitysvammaisten-asumisohjelma-kehas" TargetMode="External"/><Relationship Id="rId50" Type="http://schemas.openxmlformats.org/officeDocument/2006/relationships/hyperlink" Target="http://www.sozialministerium.at/cms/site/attachments/8/8/6/CH3434/CMS1479378429667/161116_final_nationaler_aktionsplan_behinderung_-_zwischenbilanz_2012-2015.pdf" TargetMode="External"/><Relationship Id="rId55" Type="http://schemas.openxmlformats.org/officeDocument/2006/relationships/hyperlink" Target="http://www.oear.or.at/ihr-recht/behindertenkonzept/das-behindertenkonzept-der-osterreichischen-bundesregierung/1992BehindertenkonzeptderBundesregierung.pdf" TargetMode="External"/><Relationship Id="rId76" Type="http://schemas.openxmlformats.org/officeDocument/2006/relationships/hyperlink" Target="http://www.lwl.org/spur-download/bag/kennzahlenvergleich2013.pdf" TargetMode="External"/><Relationship Id="rId97" Type="http://schemas.openxmlformats.org/officeDocument/2006/relationships/hyperlink" Target="http://www.europarl.europa.eu/cmsdata/113106/1113278EN.pdf" TargetMode="External"/><Relationship Id="rId104" Type="http://schemas.openxmlformats.org/officeDocument/2006/relationships/hyperlink" Target="http://fra.europa.eu/en/publication/2011/legal-protection-persons-mental-health-problems-under-non-discrimination-law" TargetMode="External"/><Relationship Id="rId7" Type="http://schemas.openxmlformats.org/officeDocument/2006/relationships/hyperlink" Target="http://www.ohchr.org/Documents/Publications/FactSheet33en.pdf" TargetMode="External"/><Relationship Id="rId71" Type="http://schemas.openxmlformats.org/officeDocument/2006/relationships/hyperlink" Target="https://www.sm.ee/sites/default/files/content-editors/eesmargid_ja_tegevused/Sotsiaalhoolekanne/Puudega_inimetele/special_care_2014-2020.pdf" TargetMode="External"/><Relationship Id="rId92" Type="http://schemas.openxmlformats.org/officeDocument/2006/relationships/hyperlink" Target="https://www.thl.fi/fi/web/vammaispalvelujen-kasikirja/laki-ja-oikeuskaytanto/asunnon-muutostyot-seka-valineet-ja-laitteet/asunnon-vaihtaminen" TargetMode="External"/><Relationship Id="rId2" Type="http://schemas.openxmlformats.org/officeDocument/2006/relationships/hyperlink" Target="http://www.ohchr.org/Documents/HRBodies/CRPD/CRPD.C.18.R.1-ENG.docx" TargetMode="External"/><Relationship Id="rId29" Type="http://schemas.openxmlformats.org/officeDocument/2006/relationships/hyperlink" Target="http://ec.europa.eu/regional_policy/sources/docgener/informat/2014/eac_guidance_esif_part2_en.pdf" TargetMode="External"/><Relationship Id="rId24" Type="http://schemas.openxmlformats.org/officeDocument/2006/relationships/hyperlink" Target="https://www.opensocietyfoundations.org/sites/default/files/community-not-confinement-20151019.pdf" TargetMode="External"/><Relationship Id="rId40" Type="http://schemas.openxmlformats.org/officeDocument/2006/relationships/hyperlink" Target="http://fra.europa.eu/en/publication/2015/implementing-un-crpd-overview-legal-reforms-eu-member-states" TargetMode="External"/><Relationship Id="rId45" Type="http://schemas.openxmlformats.org/officeDocument/2006/relationships/hyperlink" Target="http://www.employment.gov.sk/files/legislativa/dokumenty-zoznamy-pod/narodny-plan-deinstitucionalizacie_en.pdf" TargetMode="External"/><Relationship Id="rId66" Type="http://schemas.openxmlformats.org/officeDocument/2006/relationships/hyperlink" Target="http://www.riksdagen.se/sv/Dokument-Lagar/Lagar/Svenskforfattningssamling/Lag-1997724-om-avveckling-a_sfs-1997-724/" TargetMode="External"/><Relationship Id="rId87" Type="http://schemas.openxmlformats.org/officeDocument/2006/relationships/hyperlink" Target="http://www.un.org/ga/search/view_doc.asp?symbol=A/HRC/34/58" TargetMode="External"/><Relationship Id="rId110" Type="http://schemas.openxmlformats.org/officeDocument/2006/relationships/hyperlink" Target="http://fra.europa.eu/en/publication/2014/right-political-participation-persons-disabilities-human-rights-indicators" TargetMode="External"/><Relationship Id="rId61" Type="http://schemas.openxmlformats.org/officeDocument/2006/relationships/hyperlink" Target="http://www.mmssf.ro/j33/images/Documente/Transparenta/Dezbateri_publice/2015-01-30_Minuta_dezbatere_pub_21ian2015.pdf" TargetMode="External"/><Relationship Id="rId82" Type="http://schemas.openxmlformats.org/officeDocument/2006/relationships/hyperlink" Target="http://www.legislation.gov.uk/ukpga/2014/23/contents" TargetMode="External"/><Relationship Id="rId19" Type="http://schemas.openxmlformats.org/officeDocument/2006/relationships/hyperlink" Target="http://www.ohchr.org/Documents/HRBodies/CRPD/CRPD.C.18.R.1-ENG.docx" TargetMode="External"/><Relationship Id="rId14" Type="http://schemas.openxmlformats.org/officeDocument/2006/relationships/hyperlink" Target="http://fra.europa.eu/en/publication/2015/implementing-un-crpd-overview-legal-reforms-eu-member-states" TargetMode="External"/><Relationship Id="rId30" Type="http://schemas.openxmlformats.org/officeDocument/2006/relationships/hyperlink" Target="https://ec.europa.eu/info/publications/partnership-agreements-european-structural-and-investment-funds_en" TargetMode="External"/><Relationship Id="rId35" Type="http://schemas.openxmlformats.org/officeDocument/2006/relationships/hyperlink" Target="http://www.europarl.europa.eu/RegData/etudes/STUD/2016/571386/IPOL_STU(2016)571386_EN.pdf" TargetMode="External"/><Relationship Id="rId56" Type="http://schemas.openxmlformats.org/officeDocument/2006/relationships/hyperlink" Target="http://www.stm.fi/julkaisut/nayta/-/_julkaisu/1839361" TargetMode="External"/><Relationship Id="rId77" Type="http://schemas.openxmlformats.org/officeDocument/2006/relationships/hyperlink" Target="http://www.cm-mafra.pt/files/accaoSocial/Decreto-lei_n._115_2006.pdf" TargetMode="External"/><Relationship Id="rId100" Type="http://schemas.openxmlformats.org/officeDocument/2006/relationships/hyperlink" Target="http://fra.europa.eu/en/publication/2010/right-political-participation-persons-mental-health-problems-and-persons" TargetMode="External"/><Relationship Id="rId105" Type="http://schemas.openxmlformats.org/officeDocument/2006/relationships/hyperlink" Target="http://fra.europa.eu/en/publication/2015/children-disabilities-violence" TargetMode="External"/><Relationship Id="rId8" Type="http://schemas.openxmlformats.org/officeDocument/2006/relationships/hyperlink" Target="http://tbinternet.ohchr.org/_layouts/treatybodyexternal/Download.aspx?symbolno=CRPD/C/GC/1&amp;Lang=en" TargetMode="External"/><Relationship Id="rId51" Type="http://schemas.openxmlformats.org/officeDocument/2006/relationships/hyperlink" Target="https://www.slov-lex.sk/legislativne-procesy/SK/LP/2016/848" TargetMode="External"/><Relationship Id="rId72" Type="http://schemas.openxmlformats.org/officeDocument/2006/relationships/hyperlink" Target="http://www.psychargos.gov.gr/Default.aspx?ID=26188&amp;nt=18&amp;lang=1" TargetMode="External"/><Relationship Id="rId93" Type="http://schemas.openxmlformats.org/officeDocument/2006/relationships/hyperlink" Target="http://www.legislation.gov.uk/ukpga/2014/23/contents" TargetMode="External"/><Relationship Id="rId98" Type="http://schemas.openxmlformats.org/officeDocument/2006/relationships/hyperlink" Target="http://eur-lex.europa.eu/legal-content/EN/TXT/?uri=celex:32007R0168" TargetMode="External"/><Relationship Id="rId3" Type="http://schemas.openxmlformats.org/officeDocument/2006/relationships/hyperlink" Target="http://www.ohchr.org/EN/HRBodies/CRPD/Pages/WSArticle19.aspx" TargetMode="External"/><Relationship Id="rId25" Type="http://schemas.openxmlformats.org/officeDocument/2006/relationships/hyperlink" Target="http://www.europarl.europa.eu/RegData/etudes/STUD/2016/571386/IPOL_STU(2016)571386_EN.pdf" TargetMode="External"/><Relationship Id="rId46" Type="http://schemas.openxmlformats.org/officeDocument/2006/relationships/hyperlink" Target="http://mail.lm.gov.lv/web/library.nsf/7e1252c5ddbe65a4c2256ade00399622/9090c7f8f0d76f67c2257ca80036d0b5?OpenDocument" TargetMode="External"/><Relationship Id="rId67" Type="http://schemas.openxmlformats.org/officeDocument/2006/relationships/hyperlink" Target="http://www.lev.dk/nyheder.aspx" TargetMode="External"/><Relationship Id="rId20" Type="http://schemas.openxmlformats.org/officeDocument/2006/relationships/hyperlink" Target="http://www.ohchr.org/EN/HRBodies/CRPD/Pages/InquiryProcedure.aspx" TargetMode="External"/><Relationship Id="rId41" Type="http://schemas.openxmlformats.org/officeDocument/2006/relationships/hyperlink" Target="http://www.ohchr.org/Documents/HRBodies/CRPD/CRPD.C.18.R.1-ENG.docx" TargetMode="External"/><Relationship Id="rId62" Type="http://schemas.openxmlformats.org/officeDocument/2006/relationships/hyperlink" Target="http://www.economica.net/persoanele-cu-dizabilitati-vor-fi-dezinstitutionalizate-pana-in-2020-scutaru-ministerul-muncii_93149.html" TargetMode="External"/><Relationship Id="rId83" Type="http://schemas.openxmlformats.org/officeDocument/2006/relationships/hyperlink" Target="http://www.most.hr/files/uploads/Strategija_razvoja_sustava_socijalne_skrbi_2011_2016.pdf" TargetMode="External"/><Relationship Id="rId88" Type="http://schemas.openxmlformats.org/officeDocument/2006/relationships/hyperlink" Target="http://www.most.hr/files/uploads/Strategija_razvoja_sustava_socijalne_skrbi_2011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706DA-D3FF-43BC-A8F2-3D6C20BE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34</Pages>
  <Words>9563</Words>
  <Characters>54515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EU Fundamental Rights Agency</Company>
  <LinksUpToDate>false</LinksUpToDate>
  <CharactersWithSpaces>63951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Peneva</dc:creator>
  <cp:keywords/>
  <dc:description>Cleaner Upper for Word 2011 (version 2.1)_x000d_© Prepress Projects Ltd – For Internal Use Only_x000d_Run on Lieke Adriaansen's Mac_x000d_Wednesday, 19 July 17</dc:description>
  <cp:lastModifiedBy>Nicole Romain</cp:lastModifiedBy>
  <cp:revision>116</cp:revision>
  <dcterms:created xsi:type="dcterms:W3CDTF">2017-08-25T11:34:00Z</dcterms:created>
  <dcterms:modified xsi:type="dcterms:W3CDTF">2017-12-05T07:19:00Z</dcterms:modified>
  <cp:category>Post-macro document</cp:category>
</cp:coreProperties>
</file>